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color w:val="64748B"/>
          <w:sz w:val="26"/>
          <w:szCs w:val="26"/>
        </w:rPr>
        <w:t xml:space="preserve">Dossier de soutenance</w:t>
      </w:r>
    </w:p>
    <w:p>
      <w:pPr>
        <w:spacing w:after="120"/>
      </w:pPr>
      <w:r>
        <w:rPr>
          <w:rFonts w:ascii="Calibri" w:cs="Calibri" w:eastAsia="Calibri" w:hAnsi="Calibri"/>
          <w:b/>
          <w:bCs/>
          <w:color w:val="0E4D64"/>
          <w:sz w:val="52"/>
          <w:szCs w:val="52"/>
        </w:rPr>
        <w:t xml:space="preserve">RNCP37827BC01</w:t>
      </w:r>
    </w:p>
    <w:p>
      <w:pPr>
        <w:spacing w:after="500"/>
      </w:pPr>
      <w:r>
        <w:rPr>
          <w:rFonts w:ascii="Calibri" w:cs="Calibri" w:eastAsia="Calibri" w:hAnsi="Calibri"/>
          <w:color w:val="1E293B"/>
          <w:sz w:val="26"/>
          <w:szCs w:val="26"/>
        </w:rPr>
        <w:t xml:space="preserve">Réaliser la collecte, le stockage et la mise à disposition des données d’un projet en intelligence artificielle</w:t>
      </w:r>
    </w:p>
    <w:p>
      <w:pPr>
        <w:spacing w:after="80"/>
      </w:pPr>
      <w:r>
        <w:rPr>
          <w:rFonts w:ascii="Calibri" w:cs="Calibri" w:eastAsia="Calibri" w:hAnsi="Calibri"/>
          <w:b/>
          <w:bCs/>
          <w:color w:val="EA7317"/>
          <w:sz w:val="64"/>
          <w:szCs w:val="64"/>
        </w:rPr>
        <w:t xml:space="preserve">PPMT</w:t>
      </w:r>
    </w:p>
    <w:p>
      <w:pPr>
        <w:spacing w:after="700"/>
      </w:pPr>
      <w:r>
        <w:rPr>
          <w:rFonts w:ascii="Calibri" w:cs="Calibri" w:eastAsia="Calibri" w:hAnsi="Calibri"/>
          <w:color w:val="0E4D64"/>
          <w:sz w:val="30"/>
          <w:szCs w:val="30"/>
        </w:rPr>
        <w:t xml:space="preserve">Plateforme Prédictive des Métiers en Tension — Île-de-France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shd w:fill="F1F5F9" w:color="auto" w:val="clear"/>
            <w:tcMar>
              <w:top w:type="dxa" w:w="70"/>
              <w:left w:type="dxa" w:w="100"/>
              <w:bottom w:type="dxa" w:w="70"/>
              <w:right w:type="dxa" w:w="100"/>
            </w:tcMar>
          </w:tcPr>
          <w:p>
            <w:pPr>
              <w:spacing w:after="0" w:line="260"/>
            </w:pPr>
            <w:r>
              <w:rPr>
                <w:rFonts w:ascii="Calibri" w:cs="Calibri" w:eastAsia="Calibri" w:hAnsi="Calibri"/>
                <w:b/>
                <w:bCs/>
                <w:color w:val="1E293B"/>
                <w:sz w:val="21"/>
                <w:szCs w:val="21"/>
              </w:rPr>
              <w:t xml:space="preserve">Candidate</w:t>
            </w:r>
          </w:p>
        </w:tc>
        <w:tc>
          <w:tcPr>
            <w:tcW w:type="dxa" w:w="72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Claire Lucie DIOUF</w:t>
            </w:r>
          </w:p>
        </w:tc>
      </w:tr>
      <w:tr>
        <w:tc>
          <w:tcPr>
            <w:tcW w:type="dxa" w:w="2400"/>
            <w:shd w:fill="F1F5F9" w:color="auto" w:val="clear"/>
            <w:tcMar>
              <w:top w:type="dxa" w:w="70"/>
              <w:left w:type="dxa" w:w="100"/>
              <w:bottom w:type="dxa" w:w="70"/>
              <w:right w:type="dxa" w:w="100"/>
            </w:tcMar>
          </w:tcPr>
          <w:p>
            <w:pPr>
              <w:spacing w:after="0" w:line="260"/>
            </w:pPr>
            <w:r>
              <w:rPr>
                <w:rFonts w:ascii="Calibri" w:cs="Calibri" w:eastAsia="Calibri" w:hAnsi="Calibri"/>
                <w:b/>
                <w:bCs/>
                <w:color w:val="1E293B"/>
                <w:sz w:val="21"/>
                <w:szCs w:val="21"/>
              </w:rPr>
              <w:t xml:space="preserve">Formation</w:t>
            </w:r>
          </w:p>
        </w:tc>
        <w:tc>
          <w:tcPr>
            <w:tcW w:type="dxa" w:w="72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Développeur en Intelligence Artificielle — Artefact</w:t>
            </w:r>
          </w:p>
        </w:tc>
      </w:tr>
      <w:tr>
        <w:tc>
          <w:tcPr>
            <w:tcW w:type="dxa" w:w="2400"/>
            <w:shd w:fill="F1F5F9" w:color="auto" w:val="clear"/>
            <w:tcMar>
              <w:top w:type="dxa" w:w="70"/>
              <w:left w:type="dxa" w:w="100"/>
              <w:bottom w:type="dxa" w:w="70"/>
              <w:right w:type="dxa" w:w="100"/>
            </w:tcMar>
          </w:tcPr>
          <w:p>
            <w:pPr>
              <w:spacing w:after="0" w:line="260"/>
            </w:pPr>
            <w:r>
              <w:rPr>
                <w:rFonts w:ascii="Calibri" w:cs="Calibri" w:eastAsia="Calibri" w:hAnsi="Calibri"/>
                <w:b/>
                <w:bCs/>
                <w:color w:val="1E293B"/>
                <w:sz w:val="21"/>
                <w:szCs w:val="21"/>
              </w:rPr>
              <w:t xml:space="preserve">Projet</w:t>
            </w:r>
          </w:p>
        </w:tc>
        <w:tc>
          <w:tcPr>
            <w:tcW w:type="dxa" w:w="72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Pipeline de données et API sur les offres d’emploi franciliennes (France Travail + Adzuna)</w:t>
            </w:r>
          </w:p>
        </w:tc>
      </w:tr>
      <w:tr>
        <w:tc>
          <w:tcPr>
            <w:tcW w:type="dxa" w:w="2400"/>
            <w:shd w:fill="F1F5F9" w:color="auto" w:val="clear"/>
            <w:tcMar>
              <w:top w:type="dxa" w:w="70"/>
              <w:left w:type="dxa" w:w="100"/>
              <w:bottom w:type="dxa" w:w="70"/>
              <w:right w:type="dxa" w:w="100"/>
            </w:tcMar>
          </w:tcPr>
          <w:p>
            <w:pPr>
              <w:spacing w:after="0" w:line="260"/>
            </w:pPr>
            <w:r>
              <w:rPr>
                <w:rFonts w:ascii="Calibri" w:cs="Calibri" w:eastAsia="Calibri" w:hAnsi="Calibri"/>
                <w:b/>
                <w:bCs/>
                <w:color w:val="1E293B"/>
                <w:sz w:val="21"/>
                <w:szCs w:val="21"/>
              </w:rPr>
              <w:t xml:space="preserve">Binôme</w:t>
            </w:r>
          </w:p>
        </w:tc>
        <w:tc>
          <w:tcPr>
            <w:tcW w:type="dxa" w:w="72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Bernard GBOHOUGNON</w:t>
            </w:r>
          </w:p>
        </w:tc>
      </w:tr>
      <w:tr>
        <w:tc>
          <w:tcPr>
            <w:tcW w:type="dxa" w:w="2400"/>
            <w:shd w:fill="F1F5F9" w:color="auto" w:val="clear"/>
            <w:tcMar>
              <w:top w:type="dxa" w:w="70"/>
              <w:left w:type="dxa" w:w="100"/>
              <w:bottom w:type="dxa" w:w="70"/>
              <w:right w:type="dxa" w:w="100"/>
            </w:tcMar>
          </w:tcPr>
          <w:p>
            <w:pPr>
              <w:spacing w:after="0" w:line="260"/>
            </w:pPr>
            <w:r>
              <w:rPr>
                <w:rFonts w:ascii="Calibri" w:cs="Calibri" w:eastAsia="Calibri" w:hAnsi="Calibri"/>
                <w:b/>
                <w:bCs/>
                <w:color w:val="1E293B"/>
                <w:sz w:val="21"/>
                <w:szCs w:val="21"/>
              </w:rPr>
              <w:t xml:space="preserve">Dépôt</w:t>
            </w:r>
          </w:p>
        </w:tc>
        <w:tc>
          <w:tcPr>
            <w:tcW w:type="dxa" w:w="72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github.com/Clairelucie/PPMT</w:t>
            </w:r>
          </w:p>
        </w:tc>
      </w:tr>
      <w:tr>
        <w:tc>
          <w:tcPr>
            <w:tcW w:type="dxa" w:w="2400"/>
            <w:shd w:fill="F1F5F9" w:color="auto" w:val="clear"/>
            <w:tcMar>
              <w:top w:type="dxa" w:w="70"/>
              <w:left w:type="dxa" w:w="100"/>
              <w:bottom w:type="dxa" w:w="70"/>
              <w:right w:type="dxa" w:w="100"/>
            </w:tcMar>
          </w:tcPr>
          <w:p>
            <w:pPr>
              <w:spacing w:after="0" w:line="260"/>
            </w:pPr>
            <w:r>
              <w:rPr>
                <w:rFonts w:ascii="Calibri" w:cs="Calibri" w:eastAsia="Calibri" w:hAnsi="Calibri"/>
                <w:b/>
                <w:bCs/>
                <w:color w:val="1E293B"/>
                <w:sz w:val="21"/>
                <w:szCs w:val="21"/>
              </w:rPr>
              <w:t xml:space="preserve">Soutenance</w:t>
            </w:r>
          </w:p>
        </w:tc>
        <w:tc>
          <w:tcPr>
            <w:tcW w:type="dxa" w:w="72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15 octobre 2026</w:t>
            </w:r>
          </w:p>
        </w:tc>
      </w:tr>
    </w:tbl>
    <w:p>
      <w:pPr>
        <w:pageBreakBefore/>
        <w:spacing w:after="200"/>
      </w:pPr>
      <w:r>
        <w:rPr>
          <w:rFonts w:ascii="Calibri" w:cs="Calibri" w:eastAsia="Calibri" w:hAnsi="Calibri"/>
          <w:b/>
          <w:bCs/>
          <w:color w:val="0E4D64"/>
          <w:sz w:val="34"/>
          <w:szCs w:val="34"/>
        </w:rPr>
        <w:t xml:space="preserve">Sommaire</w:t>
      </w:r>
    </w:p>
    <w:p>
      <w:pPr>
        <w:tabs>
          <w:tab w:val="right" w:pos="9638" w:leader="dot"/>
        </w:tabs>
        <w:spacing w:after="140"/>
      </w:pPr>
      <w:r>
        <w:rPr>
          <w:rFonts w:ascii="Calibri" w:cs="Calibri" w:eastAsia="Calibri" w:hAnsi="Calibri"/>
          <w:b w:val="false"/>
          <w:bCs w:val="false"/>
          <w:color w:val="1E293B"/>
          <w:sz w:val="22"/>
          <w:szCs w:val="22"/>
        </w:rPr>
        <w:t xml:space="preserve">1. Présentation du service numérique</w:t>
      </w:r>
      <w:r>
        <w:rPr>
          <w:rFonts w:ascii="Calibri" w:cs="Calibri" w:eastAsia="Calibri" w:hAnsi="Calibri"/>
          <w:color w:val="1E293B"/>
          <w:sz w:val="22"/>
          <w:szCs w:val="22"/>
        </w:rPr>
        <w:t xml:space="preserve">	3</w:t>
      </w:r>
    </w:p>
    <w:p>
      <w:pPr>
        <w:tabs>
          <w:tab w:val="right" w:pos="9638" w:leader="dot"/>
        </w:tabs>
        <w:spacing w:after="140"/>
      </w:pPr>
      <w:r>
        <w:rPr>
          <w:rFonts w:ascii="Calibri" w:cs="Calibri" w:eastAsia="Calibri" w:hAnsi="Calibri"/>
          <w:b w:val="false"/>
          <w:bCs w:val="false"/>
          <w:color w:val="1E293B"/>
          <w:sz w:val="22"/>
          <w:szCs w:val="22"/>
        </w:rPr>
        <w:t xml:space="preserve">2. Cheminement du projet : de la V1 à la V2</w:t>
      </w:r>
      <w:r>
        <w:rPr>
          <w:rFonts w:ascii="Calibri" w:cs="Calibri" w:eastAsia="Calibri" w:hAnsi="Calibri"/>
          <w:color w:val="1E293B"/>
          <w:sz w:val="22"/>
          <w:szCs w:val="22"/>
        </w:rPr>
        <w:t xml:space="preserve">	4</w:t>
      </w:r>
    </w:p>
    <w:p>
      <w:pPr>
        <w:tabs>
          <w:tab w:val="right" w:pos="9638" w:leader="dot"/>
        </w:tabs>
        <w:spacing w:after="140"/>
      </w:pPr>
      <w:r>
        <w:rPr>
          <w:rFonts w:ascii="Calibri" w:cs="Calibri" w:eastAsia="Calibri" w:hAnsi="Calibri"/>
          <w:b w:val="false"/>
          <w:bCs w:val="false"/>
          <w:color w:val="1E293B"/>
          <w:sz w:val="22"/>
          <w:szCs w:val="22"/>
        </w:rPr>
        <w:t xml:space="preserve">3. Architecture générale du pipeline</w:t>
      </w:r>
      <w:r>
        <w:rPr>
          <w:rFonts w:ascii="Calibri" w:cs="Calibri" w:eastAsia="Calibri" w:hAnsi="Calibri"/>
          <w:color w:val="1E293B"/>
          <w:sz w:val="22"/>
          <w:szCs w:val="22"/>
        </w:rPr>
        <w:t xml:space="preserve">	5</w:t>
      </w:r>
    </w:p>
    <w:p>
      <w:pPr>
        <w:tabs>
          <w:tab w:val="right" w:pos="9638" w:leader="dot"/>
        </w:tabs>
        <w:spacing w:after="140"/>
      </w:pPr>
      <w:r>
        <w:rPr>
          <w:rFonts w:ascii="Calibri" w:cs="Calibri" w:eastAsia="Calibri" w:hAnsi="Calibri"/>
          <w:b w:val="false"/>
          <w:bCs w:val="false"/>
          <w:color w:val="1E293B"/>
          <w:sz w:val="22"/>
          <w:szCs w:val="22"/>
        </w:rPr>
        <w:t xml:space="preserve">4. C1 — Collecter les données de manière automatisée</w:t>
      </w:r>
      <w:r>
        <w:rPr>
          <w:rFonts w:ascii="Calibri" w:cs="Calibri" w:eastAsia="Calibri" w:hAnsi="Calibri"/>
          <w:color w:val="1E293B"/>
          <w:sz w:val="22"/>
          <w:szCs w:val="22"/>
        </w:rPr>
        <w:t xml:space="preserve">	6</w:t>
      </w:r>
    </w:p>
    <w:p>
      <w:pPr>
        <w:tabs>
          <w:tab w:val="right" w:pos="9638" w:leader="dot"/>
        </w:tabs>
        <w:spacing w:after="140"/>
      </w:pPr>
      <w:r>
        <w:rPr>
          <w:rFonts w:ascii="Calibri" w:cs="Calibri" w:eastAsia="Calibri" w:hAnsi="Calibri"/>
          <w:b w:val="false"/>
          <w:bCs w:val="false"/>
          <w:color w:val="1E293B"/>
          <w:sz w:val="22"/>
          <w:szCs w:val="22"/>
        </w:rPr>
        <w:t xml:space="preserve">5. C2 — Préparer les données pour leur première utilisation</w:t>
      </w:r>
      <w:r>
        <w:rPr>
          <w:rFonts w:ascii="Calibri" w:cs="Calibri" w:eastAsia="Calibri" w:hAnsi="Calibri"/>
          <w:color w:val="1E293B"/>
          <w:sz w:val="22"/>
          <w:szCs w:val="22"/>
        </w:rPr>
        <w:t xml:space="preserve">	8</w:t>
      </w:r>
    </w:p>
    <w:p>
      <w:pPr>
        <w:tabs>
          <w:tab w:val="right" w:pos="9638" w:leader="dot"/>
        </w:tabs>
        <w:spacing w:after="140"/>
      </w:pPr>
      <w:r>
        <w:rPr>
          <w:rFonts w:ascii="Calibri" w:cs="Calibri" w:eastAsia="Calibri" w:hAnsi="Calibri"/>
          <w:b w:val="false"/>
          <w:bCs w:val="false"/>
          <w:color w:val="1E293B"/>
          <w:sz w:val="22"/>
          <w:szCs w:val="22"/>
        </w:rPr>
        <w:t xml:space="preserve">6. C3 — Mettre en œuvre des règles d’agrégation de données</w:t>
      </w:r>
      <w:r>
        <w:rPr>
          <w:rFonts w:ascii="Calibri" w:cs="Calibri" w:eastAsia="Calibri" w:hAnsi="Calibri"/>
          <w:color w:val="1E293B"/>
          <w:sz w:val="22"/>
          <w:szCs w:val="22"/>
        </w:rPr>
        <w:t xml:space="preserve">	11</w:t>
      </w:r>
    </w:p>
    <w:p>
      <w:pPr>
        <w:tabs>
          <w:tab w:val="right" w:pos="9638" w:leader="dot"/>
        </w:tabs>
        <w:spacing w:after="140"/>
      </w:pPr>
      <w:r>
        <w:rPr>
          <w:rFonts w:ascii="Calibri" w:cs="Calibri" w:eastAsia="Calibri" w:hAnsi="Calibri"/>
          <w:b w:val="false"/>
          <w:bCs w:val="false"/>
          <w:color w:val="1E293B"/>
          <w:sz w:val="22"/>
          <w:szCs w:val="22"/>
        </w:rPr>
        <w:t xml:space="preserve">7. C4 — Créer une base de données</w:t>
      </w:r>
      <w:r>
        <w:rPr>
          <w:rFonts w:ascii="Calibri" w:cs="Calibri" w:eastAsia="Calibri" w:hAnsi="Calibri"/>
          <w:color w:val="1E293B"/>
          <w:sz w:val="22"/>
          <w:szCs w:val="22"/>
        </w:rPr>
        <w:t xml:space="preserve">	14</w:t>
      </w:r>
    </w:p>
    <w:p>
      <w:pPr>
        <w:tabs>
          <w:tab w:val="right" w:pos="9638" w:leader="dot"/>
        </w:tabs>
        <w:spacing w:after="140"/>
      </w:pPr>
      <w:r>
        <w:rPr>
          <w:rFonts w:ascii="Calibri" w:cs="Calibri" w:eastAsia="Calibri" w:hAnsi="Calibri"/>
          <w:b w:val="false"/>
          <w:bCs w:val="false"/>
          <w:color w:val="1E293B"/>
          <w:sz w:val="22"/>
          <w:szCs w:val="22"/>
        </w:rPr>
        <w:t xml:space="preserve">8. C5 — Mettre à disposition les données via une API</w:t>
      </w:r>
      <w:r>
        <w:rPr>
          <w:rFonts w:ascii="Calibri" w:cs="Calibri" w:eastAsia="Calibri" w:hAnsi="Calibri"/>
          <w:color w:val="1E293B"/>
          <w:sz w:val="22"/>
          <w:szCs w:val="22"/>
        </w:rPr>
        <w:t xml:space="preserve">	17</w:t>
      </w:r>
    </w:p>
    <w:p>
      <w:pPr>
        <w:tabs>
          <w:tab w:val="right" w:pos="9638" w:leader="dot"/>
        </w:tabs>
        <w:spacing w:after="140"/>
      </w:pPr>
      <w:r>
        <w:rPr>
          <w:rFonts w:ascii="Calibri" w:cs="Calibri" w:eastAsia="Calibri" w:hAnsi="Calibri"/>
          <w:b w:val="false"/>
          <w:bCs w:val="false"/>
          <w:color w:val="1E293B"/>
          <w:sz w:val="22"/>
          <w:szCs w:val="22"/>
        </w:rPr>
        <w:t xml:space="preserve">9. Tests et qualité</w:t>
      </w:r>
      <w:r>
        <w:rPr>
          <w:rFonts w:ascii="Calibri" w:cs="Calibri" w:eastAsia="Calibri" w:hAnsi="Calibri"/>
          <w:color w:val="1E293B"/>
          <w:sz w:val="22"/>
          <w:szCs w:val="22"/>
        </w:rPr>
        <w:t xml:space="preserve">	21</w:t>
      </w:r>
    </w:p>
    <w:p>
      <w:pPr>
        <w:tabs>
          <w:tab w:val="right" w:pos="9638" w:leader="dot"/>
        </w:tabs>
        <w:spacing w:after="140"/>
      </w:pPr>
      <w:r>
        <w:rPr>
          <w:rFonts w:ascii="Calibri" w:cs="Calibri" w:eastAsia="Calibri" w:hAnsi="Calibri"/>
          <w:b w:val="false"/>
          <w:bCs w:val="false"/>
          <w:color w:val="1E293B"/>
          <w:sz w:val="22"/>
          <w:szCs w:val="22"/>
        </w:rPr>
        <w:t xml:space="preserve">10. Service numérique et ouverture Machine Learning</w:t>
      </w:r>
      <w:r>
        <w:rPr>
          <w:rFonts w:ascii="Calibri" w:cs="Calibri" w:eastAsia="Calibri" w:hAnsi="Calibri"/>
          <w:color w:val="1E293B"/>
          <w:sz w:val="22"/>
          <w:szCs w:val="22"/>
        </w:rPr>
        <w:t xml:space="preserve">	22</w:t>
      </w:r>
    </w:p>
    <w:p>
      <w:pPr>
        <w:tabs>
          <w:tab w:val="right" w:pos="9638" w:leader="dot"/>
        </w:tabs>
        <w:spacing w:after="140"/>
      </w:pPr>
      <w:r>
        <w:rPr>
          <w:rFonts w:ascii="Calibri" w:cs="Calibri" w:eastAsia="Calibri" w:hAnsi="Calibri"/>
          <w:b w:val="false"/>
          <w:bCs w:val="false"/>
          <w:color w:val="1E293B"/>
          <w:sz w:val="22"/>
          <w:szCs w:val="22"/>
        </w:rPr>
        <w:t xml:space="preserve">11. Bilan et perspectives</w:t>
      </w:r>
      <w:r>
        <w:rPr>
          <w:rFonts w:ascii="Calibri" w:cs="Calibri" w:eastAsia="Calibri" w:hAnsi="Calibri"/>
          <w:color w:val="1E293B"/>
          <w:sz w:val="22"/>
          <w:szCs w:val="22"/>
        </w:rPr>
        <w:t xml:space="preserve">	24</w:t>
      </w:r>
    </w:p>
    <w:p>
      <w:pPr>
        <w:tabs>
          <w:tab w:val="right" w:pos="9638" w:leader="dot"/>
        </w:tabs>
        <w:spacing w:after="140"/>
      </w:pPr>
      <w:r>
        <w:rPr>
          <w:rFonts w:ascii="Calibri" w:cs="Calibri" w:eastAsia="Calibri" w:hAnsi="Calibri"/>
          <w:b/>
          <w:bCs/>
          <w:color w:val="1E293B"/>
          <w:sz w:val="22"/>
          <w:szCs w:val="22"/>
        </w:rPr>
        <w:t xml:space="preserve">Annexes</w:t>
      </w:r>
      <w:r>
        <w:rPr>
          <w:rFonts w:ascii="Calibri" w:cs="Calibri" w:eastAsia="Calibri" w:hAnsi="Calibri"/>
          <w:color w:val="1E293B"/>
          <w:sz w:val="22"/>
          <w:szCs w:val="22"/>
        </w:rPr>
        <w:t xml:space="preserve">	26</w:t>
      </w:r>
    </w:p>
    <w:p>
      <w:pPr>
        <w:pStyle w:val="Heading1"/>
        <w:pageBreakBefore/>
        <w:pBdr>
          <w:bottom w:val="single" w:color="0E4D64" w:sz="12" w:space="4"/>
        </w:pBdr>
        <w:spacing w:after="200"/>
      </w:pPr>
      <w:r>
        <w:rPr>
          <w:rFonts w:ascii="Calibri" w:cs="Calibri" w:eastAsia="Calibri" w:hAnsi="Calibri"/>
          <w:b/>
          <w:bCs/>
          <w:color w:val="0E4D64"/>
          <w:sz w:val="34"/>
          <w:szCs w:val="34"/>
        </w:rPr>
        <w:t xml:space="preserve">1. Présentation du service numérique</w:t>
      </w:r>
    </w:p>
    <w:p>
      <w:pPr>
        <w:pStyle w:val="Heading2"/>
        <w:spacing w:after="120" w:before="260"/>
      </w:pPr>
      <w:r>
        <w:rPr>
          <w:rFonts w:ascii="Calibri" w:cs="Calibri" w:eastAsia="Calibri" w:hAnsi="Calibri"/>
          <w:b/>
          <w:bCs/>
          <w:color w:val="0E4D64"/>
          <w:sz w:val="26"/>
          <w:szCs w:val="26"/>
        </w:rPr>
        <w:t xml:space="preserve">Contexte et problématique</w:t>
      </w:r>
    </w:p>
    <w:p>
      <w:pPr>
        <w:spacing w:after="120" w:line="290"/>
      </w:pPr>
      <w:r>
        <w:rPr>
          <w:rFonts w:ascii="Calibri" w:cs="Calibri" w:eastAsia="Calibri" w:hAnsi="Calibri"/>
          <w:color w:val="1E293B"/>
          <w:sz w:val="21"/>
          <w:szCs w:val="21"/>
        </w:rPr>
        <w:t xml:space="preserve">Selon l’enquête Besoins en Main-d’Œuvre (BMO) 2025 de France Travail, la moitié des projets de recrutement sont jugés difficiles par les employeurs. Les informations sur les métiers qui recrutent sont pourtant dispersées : chaque site d’emploi publie ses propres offres, avec ses propres catégories, et les statistiques officielles paraissent une fois par an.</w:t>
      </w:r>
    </w:p>
    <w:p>
      <w:pPr>
        <w:spacing w:after="120" w:line="290"/>
      </w:pPr>
      <w:r>
        <w:rPr>
          <w:rFonts w:ascii="Calibri" w:cs="Calibri" w:eastAsia="Calibri" w:hAnsi="Calibri"/>
          <w:b/>
          <w:bCs/>
          <w:color w:val="1E293B"/>
          <w:sz w:val="21"/>
          <w:szCs w:val="21"/>
        </w:rPr>
        <w:t xml:space="preserve">PPMT</w:t>
      </w:r>
      <w:r>
        <w:rPr>
          <w:rFonts w:ascii="Calibri" w:cs="Calibri" w:eastAsia="Calibri" w:hAnsi="Calibri"/>
          <w:color w:val="1E293B"/>
          <w:sz w:val="21"/>
          <w:szCs w:val="21"/>
        </w:rPr>
        <w:t xml:space="preserve"> (Plateforme Prédictive des Métiers en Tension) rassemble chaque jour les offres d’emploi publiées en Île-de-France par </w:t>
      </w:r>
      <w:r>
        <w:rPr>
          <w:rFonts w:ascii="Calibri" w:cs="Calibri" w:eastAsia="Calibri" w:hAnsi="Calibri"/>
          <w:b/>
          <w:bCs/>
          <w:color w:val="1E293B"/>
          <w:sz w:val="21"/>
          <w:szCs w:val="21"/>
        </w:rPr>
        <w:t xml:space="preserve">France Travail</w:t>
      </w:r>
      <w:r>
        <w:rPr>
          <w:rFonts w:ascii="Calibri" w:cs="Calibri" w:eastAsia="Calibri" w:hAnsi="Calibri"/>
          <w:color w:val="1E293B"/>
          <w:sz w:val="21"/>
          <w:szCs w:val="21"/>
        </w:rPr>
        <w:t xml:space="preserve"> et par l’agrégateur </w:t>
      </w:r>
      <w:r>
        <w:rPr>
          <w:rFonts w:ascii="Calibri" w:cs="Calibri" w:eastAsia="Calibri" w:hAnsi="Calibri"/>
          <w:b/>
          <w:bCs/>
          <w:color w:val="1E293B"/>
          <w:sz w:val="21"/>
          <w:szCs w:val="21"/>
        </w:rPr>
        <w:t xml:space="preserve">Adzuna</w:t>
      </w:r>
      <w:r>
        <w:rPr>
          <w:rFonts w:ascii="Calibri" w:cs="Calibri" w:eastAsia="Calibri" w:hAnsi="Calibri"/>
          <w:color w:val="1E293B"/>
          <w:sz w:val="21"/>
          <w:szCs w:val="21"/>
        </w:rPr>
        <w:t xml:space="preserve">, les harmonise sur le référentiel des métiers </w:t>
      </w:r>
      <w:r>
        <w:rPr>
          <w:rFonts w:ascii="Calibri" w:cs="Calibri" w:eastAsia="Calibri" w:hAnsi="Calibri"/>
          <w:b/>
          <w:bCs/>
          <w:color w:val="1E293B"/>
          <w:sz w:val="21"/>
          <w:szCs w:val="21"/>
        </w:rPr>
        <w:t xml:space="preserve">ROME</w:t>
      </w:r>
      <w:r>
        <w:rPr>
          <w:rFonts w:ascii="Calibri" w:cs="Calibri" w:eastAsia="Calibri" w:hAnsi="Calibri"/>
          <w:color w:val="1E293B"/>
          <w:sz w:val="21"/>
          <w:szCs w:val="21"/>
        </w:rPr>
        <w:t xml:space="preserve">, et calcule pour chaque métier un </w:t>
      </w:r>
      <w:r>
        <w:rPr>
          <w:rFonts w:ascii="Calibri" w:cs="Calibri" w:eastAsia="Calibri" w:hAnsi="Calibri"/>
          <w:b/>
          <w:bCs/>
          <w:color w:val="1E293B"/>
          <w:sz w:val="21"/>
          <w:szCs w:val="21"/>
        </w:rPr>
        <w:t xml:space="preserve">indice de tension</w:t>
      </w:r>
      <w:r>
        <w:rPr>
          <w:rFonts w:ascii="Calibri" w:cs="Calibri" w:eastAsia="Calibri" w:hAnsi="Calibri"/>
          <w:color w:val="1E293B"/>
          <w:sz w:val="21"/>
          <w:szCs w:val="21"/>
        </w:rPr>
        <w:t xml:space="preserve"> qui mesure la pression de recrutement exercée par les employeurs.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0E4D64" w:sz="24"/>
              <w:bottom w:val="none" w:color="FFFFFF" w:sz="0"/>
              <w:right w:val="none" w:color="FFFFFF" w:sz="0"/>
            </w:tcBorders>
            <w:shd w:fill="F1F5F9" w:color="auto" w:val="clear"/>
            <w:tcMar>
              <w:top w:type="dxa" w:w="120"/>
              <w:left w:type="dxa" w:w="200"/>
              <w:bottom w:type="dxa" w:w="120"/>
              <w:right w:type="dxa" w:w="160"/>
            </w:tcMar>
          </w:tcPr>
          <w:p>
            <w:pPr>
              <w:spacing w:after="60"/>
            </w:pPr>
            <w:r>
              <w:rPr>
                <w:rFonts w:ascii="Calibri" w:cs="Calibri" w:eastAsia="Calibri" w:hAnsi="Calibri"/>
                <w:b/>
                <w:bCs/>
                <w:color w:val="0E4D64"/>
                <w:sz w:val="21"/>
                <w:szCs w:val="21"/>
              </w:rPr>
              <w:t xml:space="preserve">Problématique</w:t>
            </w:r>
          </w:p>
          <w:p>
            <w:pPr>
              <w:spacing w:after="40" w:line="270"/>
            </w:pPr>
            <w:r>
              <w:rPr>
                <w:rFonts w:ascii="Calibri" w:cs="Calibri" w:eastAsia="Calibri" w:hAnsi="Calibri"/>
                <w:color w:val="1E293B"/>
                <w:sz w:val="21"/>
                <w:szCs w:val="21"/>
              </w:rPr>
              <w:t xml:space="preserve">Comment collecter, fiabiliser et mettre à disposition, de façon automatisée, les offres d’emploi franciliennes de plusieurs sources afin d’identifier les métiers qui recrutent le plus et d’orienter candidats, recruteurs et organismes de formation ?</w:t>
            </w:r>
          </w:p>
        </w:tc>
      </w:tr>
    </w:tbl>
    <w:p>
      <w:pPr>
        <w:spacing w:after="80"/>
      </w:pPr>
    </w:p>
    <w:p>
      <w:pPr>
        <w:pStyle w:val="Heading2"/>
        <w:spacing w:after="120" w:before="260"/>
      </w:pPr>
      <w:r>
        <w:rPr>
          <w:rFonts w:ascii="Calibri" w:cs="Calibri" w:eastAsia="Calibri" w:hAnsi="Calibri"/>
          <w:b/>
          <w:bCs/>
          <w:color w:val="0E4D64"/>
          <w:sz w:val="26"/>
          <w:szCs w:val="26"/>
        </w:rPr>
        <w:t xml:space="preserve">Ce que fait le service</w:t>
      </w:r>
    </w:p>
    <w:p>
      <w:pPr>
        <w:pStyle w:val="ListParagraph"/>
        <w:numPr>
          <w:ilvl w:val="0"/>
          <w:numId w:val="2"/>
        </w:numPr>
        <w:spacing w:after="60" w:line="280"/>
      </w:pPr>
      <w:r>
        <w:rPr>
          <w:rFonts w:ascii="Calibri" w:cs="Calibri" w:eastAsia="Calibri" w:hAnsi="Calibri"/>
          <w:b/>
          <w:bCs/>
          <w:color w:val="1E293B"/>
          <w:sz w:val="21"/>
          <w:szCs w:val="21"/>
        </w:rPr>
        <w:t xml:space="preserve">Collecte</w:t>
      </w:r>
      <w:r>
        <w:rPr>
          <w:rFonts w:ascii="Calibri" w:cs="Calibri" w:eastAsia="Calibri" w:hAnsi="Calibri"/>
          <w:color w:val="1E293B"/>
          <w:sz w:val="21"/>
          <w:szCs w:val="21"/>
        </w:rPr>
        <w:t xml:space="preserve"> quotidienne des offres via deux API (France Travail, Adzuna) et deux fichiers de référence géographiques : les contours des départements (carte, densité) et la liste des communes d’Île-de-France (pour retrouver le département de chaque offre).</w:t>
      </w:r>
    </w:p>
    <w:p>
      <w:pPr>
        <w:pStyle w:val="ListParagraph"/>
        <w:numPr>
          <w:ilvl w:val="0"/>
          <w:numId w:val="2"/>
        </w:numPr>
        <w:spacing w:after="60" w:line="280"/>
      </w:pPr>
      <w:r>
        <w:rPr>
          <w:rFonts w:ascii="Calibri" w:cs="Calibri" w:eastAsia="Calibri" w:hAnsi="Calibri"/>
          <w:b/>
          <w:bCs/>
          <w:color w:val="1E293B"/>
          <w:sz w:val="21"/>
          <w:szCs w:val="21"/>
        </w:rPr>
        <w:t xml:space="preserve">Nettoyage et harmonisation</w:t>
      </w:r>
      <w:r>
        <w:rPr>
          <w:rFonts w:ascii="Calibri" w:cs="Calibri" w:eastAsia="Calibri" w:hAnsi="Calibri"/>
          <w:color w:val="1E293B"/>
          <w:sz w:val="21"/>
          <w:szCs w:val="21"/>
        </w:rPr>
        <w:t xml:space="preserve"> : dédoublonnage, salaires en € bruts annuels (les salaires non affichés sont complétés par une médiane), contrats normalisés, départements, masquage des données personnelles.</w:t>
      </w:r>
    </w:p>
    <w:p>
      <w:pPr>
        <w:pStyle w:val="ListParagraph"/>
        <w:numPr>
          <w:ilvl w:val="0"/>
          <w:numId w:val="2"/>
        </w:numPr>
        <w:spacing w:after="60" w:line="280"/>
      </w:pPr>
      <w:r>
        <w:rPr>
          <w:rFonts w:ascii="Calibri" w:cs="Calibri" w:eastAsia="Calibri" w:hAnsi="Calibri"/>
          <w:b/>
          <w:bCs/>
          <w:color w:val="1E293B"/>
          <w:sz w:val="21"/>
          <w:szCs w:val="21"/>
        </w:rPr>
        <w:t xml:space="preserve">Stockage</w:t>
      </w:r>
      <w:r>
        <w:rPr>
          <w:rFonts w:ascii="Calibri" w:cs="Calibri" w:eastAsia="Calibri" w:hAnsi="Calibri"/>
          <w:color w:val="1E293B"/>
          <w:sz w:val="21"/>
          <w:szCs w:val="21"/>
        </w:rPr>
        <w:t xml:space="preserve"> dans une base relationnelle SQLite de 4 tables, avec contraintes d’intégrité et indicateurs agrégés en SQL.</w:t>
      </w:r>
    </w:p>
    <w:p>
      <w:pPr>
        <w:pStyle w:val="ListParagraph"/>
        <w:numPr>
          <w:ilvl w:val="0"/>
          <w:numId w:val="2"/>
        </w:numPr>
        <w:spacing w:after="60" w:line="280"/>
      </w:pPr>
      <w:r>
        <w:rPr>
          <w:rFonts w:ascii="Calibri" w:cs="Calibri" w:eastAsia="Calibri" w:hAnsi="Calibri"/>
          <w:b/>
          <w:bCs/>
          <w:color w:val="1E293B"/>
          <w:sz w:val="21"/>
          <w:szCs w:val="21"/>
        </w:rPr>
        <w:t xml:space="preserve">Mise à disposition</w:t>
      </w:r>
      <w:r>
        <w:rPr>
          <w:rFonts w:ascii="Calibri" w:cs="Calibri" w:eastAsia="Calibri" w:hAnsi="Calibri"/>
          <w:color w:val="1E293B"/>
          <w:sz w:val="21"/>
          <w:szCs w:val="21"/>
        </w:rPr>
        <w:t xml:space="preserve"> par une </w:t>
      </w:r>
      <w:r>
        <w:rPr>
          <w:rFonts w:ascii="Calibri" w:cs="Calibri" w:eastAsia="Calibri" w:hAnsi="Calibri"/>
          <w:b/>
          <w:bCs/>
          <w:color w:val="1E293B"/>
          <w:sz w:val="21"/>
          <w:szCs w:val="21"/>
        </w:rPr>
        <w:t xml:space="preserve">API REST FastAPI</w:t>
      </w:r>
      <w:r>
        <w:rPr>
          <w:rFonts w:ascii="Calibri" w:cs="Calibri" w:eastAsia="Calibri" w:hAnsi="Calibri"/>
          <w:color w:val="1E293B"/>
          <w:sz w:val="21"/>
          <w:szCs w:val="21"/>
        </w:rPr>
        <w:t xml:space="preserve"> sécurisée (7 endpoints, documentation Swagger) et par un </w:t>
      </w:r>
      <w:r>
        <w:rPr>
          <w:rFonts w:ascii="Calibri" w:cs="Calibri" w:eastAsia="Calibri" w:hAnsi="Calibri"/>
          <w:b/>
          <w:bCs/>
          <w:color w:val="1E293B"/>
          <w:sz w:val="21"/>
          <w:szCs w:val="21"/>
        </w:rPr>
        <w:t xml:space="preserve">dashboard Streamlit</w:t>
      </w:r>
      <w:r>
        <w:rPr>
          <w:rFonts w:ascii="Calibri" w:cs="Calibri" w:eastAsia="Calibri" w:hAnsi="Calibri"/>
          <w:color w:val="1E293B"/>
          <w:sz w:val="21"/>
          <w:szCs w:val="21"/>
        </w:rPr>
        <w:t xml:space="preserve"> de 6 onglets.</w:t>
      </w:r>
    </w:p>
    <w:p>
      <w:pPr>
        <w:pStyle w:val="Heading2"/>
        <w:spacing w:after="120" w:before="260"/>
      </w:pPr>
      <w:r>
        <w:rPr>
          <w:rFonts w:ascii="Calibri" w:cs="Calibri" w:eastAsia="Calibri" w:hAnsi="Calibri"/>
          <w:b/>
          <w:bCs/>
          <w:color w:val="0E4D64"/>
          <w:sz w:val="26"/>
          <w:szCs w:val="26"/>
        </w:rPr>
        <w:t xml:space="preserve">Utilisateurs cibles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Utilisateur</w:t>
            </w:r>
          </w:p>
        </w:tc>
        <w:tc>
          <w:tcPr>
            <w:tcW w:type="dxa" w:w="6638"/>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Usage de PPMT</w:t>
            </w:r>
          </w:p>
        </w:tc>
      </w:tr>
      <w:tr>
        <w:tc>
          <w:tcPr>
            <w:tcW w:type="dxa" w:w="3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Cabinets de recrutement</w:t>
            </w:r>
          </w:p>
        </w:tc>
        <w:tc>
          <w:tcPr>
            <w:tcW w:type="dxa" w:w="66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Repérer les métiers où la concurrence entre employeurs est forte ; ajuster délais et honoraires</w:t>
            </w:r>
          </w:p>
        </w:tc>
      </w:tr>
      <w:tr>
        <w:tc>
          <w:tcPr>
            <w:tcW w:type="dxa" w:w="3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Candidats et conseillers emploi</w:t>
            </w:r>
          </w:p>
        </w:tc>
        <w:tc>
          <w:tcPr>
            <w:tcW w:type="dxa" w:w="66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Savoir quels métiers recrutent réellement, dans quel département, avec quel type de contrat</w:t>
            </w:r>
          </w:p>
        </w:tc>
      </w:tr>
      <w:tr>
        <w:tc>
          <w:tcPr>
            <w:tcW w:type="dxa" w:w="3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Organismes de formation</w:t>
            </w:r>
          </w:p>
        </w:tc>
        <w:tc>
          <w:tcPr>
            <w:tcW w:type="dxa" w:w="66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Aligner l’offre de formation (CPF, OPCO) sur les métiers les plus demandés</w:t>
            </w:r>
          </w:p>
        </w:tc>
      </w:tr>
      <w:tr>
        <w:tc>
          <w:tcPr>
            <w:tcW w:type="dxa" w:w="3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Développeurs / data analysts</w:t>
            </w:r>
          </w:p>
        </w:tc>
        <w:tc>
          <w:tcPr>
            <w:tcW w:type="dxa" w:w="66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Interroger les données via l’API pour les intégrer à leurs propres outils</w:t>
            </w:r>
          </w:p>
        </w:tc>
      </w:tr>
    </w:tbl>
    <w:p>
      <w:pPr>
        <w:pStyle w:val="Heading2"/>
        <w:spacing w:after="120" w:before="260"/>
      </w:pPr>
      <w:r>
        <w:rPr>
          <w:rFonts w:ascii="Calibri" w:cs="Calibri" w:eastAsia="Calibri" w:hAnsi="Calibri"/>
          <w:b/>
          <w:bCs/>
          <w:color w:val="0E4D64"/>
          <w:sz w:val="26"/>
          <w:szCs w:val="26"/>
        </w:rPr>
        <w:t xml:space="preserve">Mon rôle dans le projet</w:t>
      </w:r>
    </w:p>
    <w:p>
      <w:pPr>
        <w:spacing w:after="120" w:line="290"/>
      </w:pPr>
      <w:r>
        <w:rPr>
          <w:rFonts w:ascii="Calibri" w:cs="Calibri" w:eastAsia="Calibri" w:hAnsi="Calibri"/>
          <w:color w:val="1E293B"/>
          <w:sz w:val="21"/>
          <w:szCs w:val="21"/>
        </w:rPr>
        <w:t xml:space="preserve">Le projet a été mené </w:t>
      </w:r>
      <w:r>
        <w:rPr>
          <w:rFonts w:ascii="Calibri" w:cs="Calibri" w:eastAsia="Calibri" w:hAnsi="Calibri"/>
          <w:b/>
          <w:bCs/>
          <w:color w:val="1E293B"/>
          <w:sz w:val="21"/>
          <w:szCs w:val="21"/>
        </w:rPr>
        <w:t xml:space="preserve">en binôme avec Bernard GBOHOUGNON</w:t>
      </w:r>
      <w:r>
        <w:rPr>
          <w:rFonts w:ascii="Calibri" w:cs="Calibri" w:eastAsia="Calibri" w:hAnsi="Calibri"/>
          <w:color w:val="1E293B"/>
          <w:sz w:val="21"/>
          <w:szCs w:val="21"/>
        </w:rPr>
        <w:t xml:space="preserve">, chacun avec un rôle défini. En V1 (mai 2026), j’ai pris en charge la collecte France Travail (authentification OAuth2), le dashboard Streamlit et la partie Machine Learning ; Bernard a collecté et nettoyé les données Adzuna et administré le dépôt Git. Pour la </w:t>
      </w:r>
      <w:r>
        <w:rPr>
          <w:rFonts w:ascii="Calibri" w:cs="Calibri" w:eastAsia="Calibri" w:hAnsi="Calibri"/>
          <w:b/>
          <w:bCs/>
          <w:color w:val="1E293B"/>
          <w:sz w:val="21"/>
          <w:szCs w:val="21"/>
        </w:rPr>
        <w:t xml:space="preserve">refonte V2</w:t>
      </w:r>
      <w:r>
        <w:rPr>
          <w:rFonts w:ascii="Calibri" w:cs="Calibri" w:eastAsia="Calibri" w:hAnsi="Calibri"/>
          <w:color w:val="1E293B"/>
          <w:sz w:val="21"/>
          <w:szCs w:val="21"/>
        </w:rPr>
        <w:t xml:space="preserve"> présentée dans ce dossier, nous avons de nouveau réparti le travail : j’ai réécrit la collecte, le nettoyage et le stockage en modules testables, créé l’API et les tests automatisés, et corrigé la partie ML ; Bernard a mis en place la journalisation (logs) et l’idempotence du pipeline.</w:t>
      </w:r>
    </w:p>
    <w:p>
      <w:pPr>
        <w:pStyle w:val="Heading1"/>
        <w:pageBreakBefore/>
        <w:pBdr>
          <w:bottom w:val="single" w:color="0E4D64" w:sz="12" w:space="4"/>
        </w:pBdr>
        <w:spacing w:after="200"/>
      </w:pPr>
      <w:r>
        <w:rPr>
          <w:rFonts w:ascii="Calibri" w:cs="Calibri" w:eastAsia="Calibri" w:hAnsi="Calibri"/>
          <w:b/>
          <w:bCs/>
          <w:color w:val="0E4D64"/>
          <w:sz w:val="34"/>
          <w:szCs w:val="34"/>
        </w:rPr>
        <w:t xml:space="preserve">2. Cheminement du projet : de la V1 à la V2</w:t>
      </w:r>
    </w:p>
    <w:p>
      <w:pPr>
        <w:spacing w:after="120" w:line="290"/>
      </w:pPr>
      <w:r>
        <w:rPr>
          <w:rFonts w:ascii="Calibri" w:cs="Calibri" w:eastAsia="Calibri" w:hAnsi="Calibri"/>
          <w:color w:val="1E293B"/>
          <w:sz w:val="21"/>
          <w:szCs w:val="21"/>
        </w:rPr>
        <w:t xml:space="preserve">En relisant les critères du bloc RNCP37827BC01, j’ai constaté que la V1 mettait l’accent sur la visualisation, alors que le bloc évalue la chaîne complète </w:t>
      </w:r>
      <w:r>
        <w:rPr>
          <w:rFonts w:ascii="Calibri" w:cs="Calibri" w:eastAsia="Calibri" w:hAnsi="Calibri"/>
          <w:b/>
          <w:bCs/>
          <w:color w:val="1E293B"/>
          <w:sz w:val="21"/>
          <w:szCs w:val="21"/>
        </w:rPr>
        <w:t xml:space="preserve">collecte → préparation → stockage → mise à disposition par API</w:t>
      </w:r>
      <w:r>
        <w:rPr>
          <w:rFonts w:ascii="Calibri" w:cs="Calibri" w:eastAsia="Calibri" w:hAnsi="Calibri"/>
          <w:color w:val="1E293B"/>
          <w:sz w:val="21"/>
          <w:szCs w:val="21"/>
        </w:rPr>
        <w:t xml:space="preserve">. Plusieurs écarts ont été identifiés et corrigés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4138"/>
      </w:tblGrid>
      <w:tr>
        <w:trPr>
          <w:tblHeader/>
        </w:trPr>
        <w:tc>
          <w:tcPr>
            <w:tcW w:type="dxa" w:w="1900"/>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Dimension</w:t>
            </w:r>
          </w:p>
        </w:tc>
        <w:tc>
          <w:tcPr>
            <w:tcW w:type="dxa" w:w="3600"/>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V1 (mai 2026)</w:t>
            </w:r>
          </w:p>
        </w:tc>
        <w:tc>
          <w:tcPr>
            <w:tcW w:type="dxa" w:w="4138"/>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V2 (octobre 2026)</w:t>
            </w:r>
          </w:p>
        </w:tc>
      </w:tr>
      <w:tr>
        <w:tc>
          <w:tcPr>
            <w:tcW w:type="dxa" w:w="19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Collecte</w:t>
            </w:r>
          </w:p>
        </w:tc>
        <w:tc>
          <w:tcPr>
            <w:tcW w:type="dxa" w:w="36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Script France Travail de test (10 offres, Paris) ; collecte Adzuna hors dépôt</w:t>
            </w:r>
          </w:p>
        </w:tc>
        <w:tc>
          <w:tcPr>
            <w:tcW w:type="dxa" w:w="4138"/>
            <w:tcMar>
              <w:top w:type="dxa" w:w="70"/>
              <w:left w:type="dxa" w:w="100"/>
              <w:bottom w:type="dxa" w:w="70"/>
              <w:right w:type="dxa" w:w="100"/>
            </w:tcMar>
          </w:tcPr>
          <w:p>
            <w:pPr>
              <w:spacing w:after="0" w:line="260"/>
            </w:pPr>
            <w:r>
              <w:rPr>
                <w:rFonts w:ascii="Consolas" w:cs="Consolas" w:eastAsia="Consolas" w:hAnsi="Consolas"/>
                <w:color w:val="9A3412"/>
                <w:sz w:val="19"/>
                <w:szCs w:val="19"/>
              </w:rPr>
              <w:t xml:space="preserve">collect.py</w:t>
            </w:r>
            <w:r>
              <w:rPr>
                <w:rFonts w:ascii="Calibri" w:cs="Calibri" w:eastAsia="Calibri" w:hAnsi="Calibri"/>
                <w:color w:val="1E293B"/>
                <w:sz w:val="21"/>
                <w:szCs w:val="21"/>
              </w:rPr>
              <w:t xml:space="preserve"> : 2 API + 2 fichiers de référence, pagination, reprise sur erreur, logs, idempotence</w:t>
            </w:r>
          </w:p>
        </w:tc>
      </w:tr>
      <w:tr>
        <w:tc>
          <w:tcPr>
            <w:tcW w:type="dxa" w:w="19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Préparation</w:t>
            </w:r>
          </w:p>
        </w:tc>
        <w:tc>
          <w:tcPr>
            <w:tcW w:type="dxa" w:w="36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Scripts séparés, chiffres de rapport codés en dur</w:t>
            </w:r>
          </w:p>
        </w:tc>
        <w:tc>
          <w:tcPr>
            <w:tcW w:type="dxa" w:w="4138"/>
            <w:shd w:fill="F8FAFC" w:color="auto" w:val="clear"/>
            <w:tcMar>
              <w:top w:type="dxa" w:w="70"/>
              <w:left w:type="dxa" w:w="100"/>
              <w:bottom w:type="dxa" w:w="70"/>
              <w:right w:type="dxa" w:w="100"/>
            </w:tcMar>
          </w:tcPr>
          <w:p>
            <w:pPr>
              <w:spacing w:after="0" w:line="260"/>
            </w:pPr>
            <w:r>
              <w:rPr>
                <w:rFonts w:ascii="Consolas" w:cs="Consolas" w:eastAsia="Consolas" w:hAnsi="Consolas"/>
                <w:color w:val="9A3412"/>
                <w:sz w:val="19"/>
                <w:szCs w:val="19"/>
              </w:rPr>
              <w:t xml:space="preserve">prepare.py</w:t>
            </w:r>
            <w:r>
              <w:rPr>
                <w:rFonts w:ascii="Calibri" w:cs="Calibri" w:eastAsia="Calibri" w:hAnsi="Calibri"/>
                <w:color w:val="1E293B"/>
                <w:sz w:val="21"/>
                <w:szCs w:val="21"/>
              </w:rPr>
              <w:t xml:space="preserve"> : règles unitaires testées, schéma commun aux deux sources</w:t>
            </w:r>
          </w:p>
        </w:tc>
      </w:tr>
      <w:tr>
        <w:tc>
          <w:tcPr>
            <w:tcW w:type="dxa" w:w="19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Stockage</w:t>
            </w:r>
          </w:p>
        </w:tc>
        <w:tc>
          <w:tcPr>
            <w:tcW w:type="dxa" w:w="36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1 table remplie sur 3, sans clé étrangère</w:t>
            </w:r>
          </w:p>
        </w:tc>
        <w:tc>
          <w:tcPr>
            <w:tcW w:type="dxa" w:w="41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4 tables normalisées, clés, contraintes CHECK/UNIQUE, 6 index</w:t>
            </w:r>
          </w:p>
        </w:tc>
      </w:tr>
      <w:tr>
        <w:tc>
          <w:tcPr>
            <w:tcW w:type="dxa" w:w="19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Agrégation</w:t>
            </w:r>
          </w:p>
        </w:tc>
        <w:tc>
          <w:tcPr>
            <w:tcW w:type="dxa" w:w="36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Calcul pandas</w:t>
            </w:r>
          </w:p>
        </w:tc>
        <w:tc>
          <w:tcPr>
            <w:tcW w:type="dxa" w:w="41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Requête SQL (GROUP BY + fonction fenêtre)</w:t>
            </w:r>
          </w:p>
        </w:tc>
      </w:tr>
      <w:tr>
        <w:tc>
          <w:tcPr>
            <w:tcW w:type="dxa" w:w="19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Mise à disposition</w:t>
            </w:r>
          </w:p>
        </w:tc>
        <w:tc>
          <w:tcPr>
            <w:tcW w:type="dxa" w:w="36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Dashboard Streamlit uniquement</w:t>
            </w:r>
          </w:p>
        </w:tc>
        <w:tc>
          <w:tcPr>
            <w:tcW w:type="dxa" w:w="4138"/>
            <w:tcMar>
              <w:top w:type="dxa" w:w="70"/>
              <w:left w:type="dxa" w:w="100"/>
              <w:bottom w:type="dxa" w:w="70"/>
              <w:right w:type="dxa" w:w="100"/>
            </w:tcMar>
          </w:tcPr>
          <w:p>
            <w:pPr>
              <w:spacing w:after="0" w:line="260"/>
            </w:pPr>
            <w:r>
              <w:rPr>
                <w:rFonts w:ascii="Calibri" w:cs="Calibri" w:eastAsia="Calibri" w:hAnsi="Calibri"/>
                <w:b/>
                <w:bCs/>
                <w:color w:val="1E293B"/>
                <w:sz w:val="21"/>
                <w:szCs w:val="21"/>
              </w:rPr>
              <w:t xml:space="preserve">API REST FastAPI</w:t>
            </w:r>
            <w:r>
              <w:rPr>
                <w:rFonts w:ascii="Calibri" w:cs="Calibri" w:eastAsia="Calibri" w:hAnsi="Calibri"/>
                <w:color w:val="1E293B"/>
                <w:sz w:val="21"/>
                <w:szCs w:val="21"/>
              </w:rPr>
              <w:t xml:space="preserve"> sécurisée + Swagger + Docker, dashboard conservé</w:t>
            </w:r>
          </w:p>
        </w:tc>
      </w:tr>
      <w:tr>
        <w:tc>
          <w:tcPr>
            <w:tcW w:type="dxa" w:w="19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RGPD</w:t>
            </w:r>
          </w:p>
        </w:tc>
        <w:tc>
          <w:tcPr>
            <w:tcW w:type="dxa" w:w="36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Non traité</w:t>
            </w:r>
          </w:p>
        </w:tc>
        <w:tc>
          <w:tcPr>
            <w:tcW w:type="dxa" w:w="41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Pseudonymisation, purge 12 mois, registre de traitement</w:t>
            </w:r>
          </w:p>
        </w:tc>
      </w:tr>
      <w:tr>
        <w:tc>
          <w:tcPr>
            <w:tcW w:type="dxa" w:w="19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Tests</w:t>
            </w:r>
          </w:p>
        </w:tc>
        <w:tc>
          <w:tcPr>
            <w:tcW w:type="dxa" w:w="36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Aucun</w:t>
            </w:r>
          </w:p>
        </w:tc>
        <w:tc>
          <w:tcPr>
            <w:tcW w:type="dxa" w:w="4138"/>
            <w:tcMar>
              <w:top w:type="dxa" w:w="70"/>
              <w:left w:type="dxa" w:w="100"/>
              <w:bottom w:type="dxa" w:w="70"/>
              <w:right w:type="dxa" w:w="100"/>
            </w:tcMar>
          </w:tcPr>
          <w:p>
            <w:pPr>
              <w:spacing w:after="0" w:line="260"/>
            </w:pPr>
            <w:r>
              <w:rPr>
                <w:rFonts w:ascii="Calibri" w:cs="Calibri" w:eastAsia="Calibri" w:hAnsi="Calibri"/>
                <w:b/>
                <w:bCs/>
                <w:color w:val="1E293B"/>
                <w:sz w:val="21"/>
                <w:szCs w:val="21"/>
              </w:rPr>
              <w:t xml:space="preserve">57 tests pytest</w:t>
            </w:r>
            <w:r>
              <w:rPr>
                <w:rFonts w:ascii="Calibri" w:cs="Calibri" w:eastAsia="Calibri" w:hAnsi="Calibri"/>
                <w:color w:val="1E293B"/>
                <w:sz w:val="21"/>
                <w:szCs w:val="21"/>
              </w:rPr>
              <w:t xml:space="preserve"> (collecte simulée, règles, base, API)</w:t>
            </w:r>
          </w:p>
        </w:tc>
      </w:tr>
      <w:tr>
        <w:tc>
          <w:tcPr>
            <w:tcW w:type="dxa" w:w="19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Machine Learning</w:t>
            </w:r>
          </w:p>
        </w:tc>
        <w:tc>
          <w:tcPr>
            <w:tcW w:type="dxa" w:w="36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R² = 0,995 annoncé</w:t>
            </w:r>
          </w:p>
        </w:tc>
        <w:tc>
          <w:tcPr>
            <w:tcW w:type="dxa" w:w="41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Fuite de données identifiée et corrigée (voir §10)</w:t>
            </w:r>
          </w:p>
        </w:tc>
      </w:tr>
    </w:tbl>
    <w:p>
      <w:pPr>
        <w:spacing w:after="80"/>
      </w:pPr>
    </w:p>
    <w:p>
      <w:pPr>
        <w:spacing w:after="120" w:line="290"/>
      </w:pPr>
      <w:r>
        <w:rPr>
          <w:rFonts w:ascii="Calibri" w:cs="Calibri" w:eastAsia="Calibri" w:hAnsi="Calibri"/>
          <w:color w:val="1E293B"/>
          <w:sz w:val="21"/>
          <w:szCs w:val="21"/>
        </w:rPr>
        <w:t xml:space="preserve">Cette démarche illustre une compétence que je considère centrale : reconnaître l’écart entre ce qui a été produit et ce qui est attendu, puis corriger, y compris lorsqu’un résultat flatteur (R² = 0,995) se révèle être un artefact.</w:t>
      </w:r>
    </w:p>
    <w:p>
      <w:pPr>
        <w:pStyle w:val="Heading1"/>
        <w:pageBreakBefore/>
        <w:pBdr>
          <w:bottom w:val="single" w:color="0E4D64" w:sz="12" w:space="4"/>
        </w:pBdr>
        <w:spacing w:after="200"/>
      </w:pPr>
      <w:r>
        <w:rPr>
          <w:rFonts w:ascii="Calibri" w:cs="Calibri" w:eastAsia="Calibri" w:hAnsi="Calibri"/>
          <w:b/>
          <w:bCs/>
          <w:color w:val="0E4D64"/>
          <w:sz w:val="34"/>
          <w:szCs w:val="34"/>
        </w:rPr>
        <w:t xml:space="preserve">3. Architecture générale du pipeline</w:t>
      </w:r>
    </w:p>
    <w:p>
      <w:pPr>
        <w:spacing w:after="40" w:before="120"/>
        <w:jc w:val="center"/>
      </w:pPr>
      <w:r>
        <w:drawing>
          <wp:inline distT="0" distB="0" distL="0" distR="0">
            <wp:extent cx="6096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14300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 — Chaîne de traitement PPMT, des sources au service</w:t>
      </w:r>
    </w:p>
    <w:p>
      <w:pPr>
        <w:spacing w:after="120" w:line="290"/>
      </w:pPr>
      <w:r>
        <w:rPr>
          <w:rFonts w:ascii="Calibri" w:cs="Calibri" w:eastAsia="Calibri" w:hAnsi="Calibri"/>
          <w:color w:val="1E293B"/>
          <w:sz w:val="21"/>
          <w:szCs w:val="21"/>
        </w:rPr>
        <w:t xml:space="preserve">Chaque compétence du bloc correspond à un module Python indépendant, testable et exécutable seul. </w:t>
      </w:r>
      <w:r>
        <w:rPr>
          <w:rFonts w:ascii="Consolas" w:cs="Consolas" w:eastAsia="Consolas" w:hAnsi="Consolas"/>
          <w:color w:val="9A3412"/>
          <w:sz w:val="19"/>
          <w:szCs w:val="19"/>
        </w:rPr>
        <w:t xml:space="preserve">run_pipeline.py</w:t>
      </w:r>
      <w:r>
        <w:rPr>
          <w:rFonts w:ascii="Calibri" w:cs="Calibri" w:eastAsia="Calibri" w:hAnsi="Calibri"/>
          <w:color w:val="1E293B"/>
          <w:sz w:val="21"/>
          <w:szCs w:val="21"/>
        </w:rPr>
        <w:t xml:space="preserve"> enchaîne les étapes C1 → C4 ; il est planifié chaque jour à 7 h par cron. L’API (C5) lit la base en lecture seule.</w:t>
      </w:r>
    </w:p>
    <w:p>
      <w:pPr>
        <w:spacing w:after="0" w:before="120"/>
      </w:pPr>
      <w:r>
        <w:rPr>
          <w:rFonts w:ascii="Consolas" w:cs="Consolas" w:eastAsia="Consolas" w:hAnsi="Consolas"/>
          <w:i/>
          <w:iCs/>
          <w:color w:val="64748B"/>
          <w:sz w:val="16"/>
          <w:szCs w:val="16"/>
        </w:rPr>
        <w:t xml:space="preserve">Arborescence du dépôt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PPMT/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src/</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 collect.py        C1  — API France Travail, API Adzuna, contours et communes IDF</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 prepare.py        C2/C3 — nettoyage, normalisation, dédoublonnage, RGPD</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 store.py          C4  — schéma SQLite, chargement, agrégation SQL, purge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api/main.py           C5  — API REST FastAPI</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tests/test_pipeline.py      57 tests pytest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run_pipeline.py             orchestrateur C1 → C4</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webapp/app.py               dashboard Streamlit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notebook/ml_tests.py        expérimentation ML</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docs/  dictionnaire.md · rgpd.md</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 Dockerfile                  image de l'API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Couche</w:t>
            </w:r>
          </w:p>
        </w:tc>
        <w:tc>
          <w:tcPr>
            <w:tcW w:type="dxa" w:w="7438"/>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Technologies</w:t>
            </w:r>
          </w:p>
        </w:tc>
      </w:tr>
      <w:tr>
        <w:tc>
          <w:tcPr>
            <w:tcW w:type="dxa" w:w="22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Collecte</w:t>
            </w:r>
          </w:p>
        </w:tc>
        <w:tc>
          <w:tcPr>
            <w:tcW w:type="dxa" w:w="74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Python 3.11 · requests · python-dotenv · OAuth2 client_credentials</w:t>
            </w:r>
          </w:p>
        </w:tc>
      </w:tr>
      <w:tr>
        <w:tc>
          <w:tcPr>
            <w:tcW w:type="dxa" w:w="22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Préparation</w:t>
            </w:r>
          </w:p>
        </w:tc>
        <w:tc>
          <w:tcPr>
            <w:tcW w:type="dxa" w:w="74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pandas · expressions régulières · hashlib</w:t>
            </w:r>
          </w:p>
        </w:tc>
      </w:tr>
      <w:tr>
        <w:tc>
          <w:tcPr>
            <w:tcW w:type="dxa" w:w="22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Stockage</w:t>
            </w:r>
          </w:p>
        </w:tc>
        <w:tc>
          <w:tcPr>
            <w:tcW w:type="dxa" w:w="74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SQLite 3 (clés étrangères, CHECK, fonctions fenêtre)</w:t>
            </w:r>
          </w:p>
        </w:tc>
      </w:tr>
      <w:tr>
        <w:tc>
          <w:tcPr>
            <w:tcW w:type="dxa" w:w="22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API</w:t>
            </w:r>
          </w:p>
        </w:tc>
        <w:tc>
          <w:tcPr>
            <w:tcW w:type="dxa" w:w="74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FastAPI · Pydantic · Uvicorn · Docker</w:t>
            </w:r>
          </w:p>
        </w:tc>
      </w:tr>
      <w:tr>
        <w:tc>
          <w:tcPr>
            <w:tcW w:type="dxa" w:w="22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Tests</w:t>
            </w:r>
          </w:p>
        </w:tc>
        <w:tc>
          <w:tcPr>
            <w:tcW w:type="dxa" w:w="74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pytest · FastAPI TestClient (httpx)</w:t>
            </w:r>
          </w:p>
        </w:tc>
      </w:tr>
      <w:tr>
        <w:tc>
          <w:tcPr>
            <w:tcW w:type="dxa" w:w="22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Visualisation</w:t>
            </w:r>
          </w:p>
        </w:tc>
        <w:tc>
          <w:tcPr>
            <w:tcW w:type="dxa" w:w="74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Streamlit · Plotly</w:t>
            </w:r>
          </w:p>
        </w:tc>
      </w:tr>
    </w:tbl>
    <w:p>
      <w:pPr>
        <w:pStyle w:val="Heading1"/>
        <w:pageBreakBefore/>
        <w:pBdr>
          <w:bottom w:val="single" w:color="0F9D8A" w:sz="12" w:space="4"/>
        </w:pBdr>
        <w:spacing w:after="200"/>
      </w:pPr>
      <w:r>
        <w:rPr>
          <w:rFonts w:ascii="Calibri" w:cs="Calibri" w:eastAsia="Calibri" w:hAnsi="Calibri"/>
          <w:b/>
          <w:bCs/>
          <w:color w:val="0F9D8A"/>
          <w:sz w:val="34"/>
          <w:szCs w:val="34"/>
        </w:rPr>
        <w:t xml:space="preserve">4. C1 — Collecter les données de manière automatisée</w:t>
      </w:r>
    </w:p>
    <w:p>
      <w:pPr>
        <w:pStyle w:val="Heading2"/>
        <w:spacing w:after="120" w:before="260"/>
      </w:pPr>
      <w:r>
        <w:rPr>
          <w:rFonts w:ascii="Calibri" w:cs="Calibri" w:eastAsia="Calibri" w:hAnsi="Calibri"/>
          <w:b/>
          <w:bCs/>
          <w:color w:val="0F9D8A"/>
          <w:sz w:val="26"/>
          <w:szCs w:val="26"/>
        </w:rPr>
        <w:t xml:space="preserve">Sources de données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700"/>
        <w:gridCol w:w="2700"/>
        <w:gridCol w:w="1838"/>
      </w:tblGrid>
      <w:tr>
        <w:trPr>
          <w:tblHeader/>
        </w:trPr>
        <w:tc>
          <w:tcPr>
            <w:tcW w:type="dxa" w:w="2100"/>
            <w:shd w:fill="0F9D8A"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Source</w:t>
            </w:r>
          </w:p>
        </w:tc>
        <w:tc>
          <w:tcPr>
            <w:tcW w:type="dxa" w:w="1300"/>
            <w:shd w:fill="0F9D8A"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Type</w:t>
            </w:r>
          </w:p>
        </w:tc>
        <w:tc>
          <w:tcPr>
            <w:tcW w:type="dxa" w:w="1700"/>
            <w:shd w:fill="0F9D8A"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Accès</w:t>
            </w:r>
          </w:p>
        </w:tc>
        <w:tc>
          <w:tcPr>
            <w:tcW w:type="dxa" w:w="2700"/>
            <w:shd w:fill="0F9D8A"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Contenu</w:t>
            </w:r>
          </w:p>
        </w:tc>
        <w:tc>
          <w:tcPr>
            <w:tcW w:type="dxa" w:w="1838"/>
            <w:shd w:fill="0F9D8A"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Volume</w:t>
            </w:r>
          </w:p>
        </w:tc>
      </w:tr>
      <w:tr>
        <w:tc>
          <w:tcPr>
            <w:tcW w:type="dxa" w:w="21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France Travail — Offres d’emploi v2</w:t>
            </w:r>
          </w:p>
        </w:tc>
        <w:tc>
          <w:tcPr>
            <w:tcW w:type="dxa" w:w="1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API REST JSON</w:t>
            </w:r>
          </w:p>
        </w:tc>
        <w:tc>
          <w:tcPr>
            <w:tcW w:type="dxa" w:w="17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OAuth2 (client_id / secret)</w:t>
            </w:r>
          </w:p>
        </w:tc>
        <w:tc>
          <w:tcPr>
            <w:tcW w:type="dxa" w:w="27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Offres, code ROME natif, contrat, salaire, expérience</w:t>
            </w:r>
          </w:p>
        </w:tc>
        <w:tc>
          <w:tcPr>
            <w:tcW w:type="dxa" w:w="18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24 051 offres (8 dépts)</w:t>
            </w:r>
          </w:p>
        </w:tc>
      </w:tr>
      <w:tr>
        <w:tc>
          <w:tcPr>
            <w:tcW w:type="dxa" w:w="21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Adzuna</w:t>
            </w:r>
          </w:p>
        </w:tc>
        <w:tc>
          <w:tcPr>
            <w:tcW w:type="dxa" w:w="1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API REST JSON</w:t>
            </w:r>
          </w:p>
        </w:tc>
        <w:tc>
          <w:tcPr>
            <w:tcW w:type="dxa" w:w="17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app_id / app_key</w:t>
            </w:r>
          </w:p>
        </w:tc>
        <w:tc>
          <w:tcPr>
            <w:tcW w:type="dxa" w:w="27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Offres agrégées de nombreux sites, catégorie, salaire</w:t>
            </w:r>
          </w:p>
        </w:tc>
        <w:tc>
          <w:tcPr>
            <w:tcW w:type="dxa" w:w="18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12 500 brutes → 4 626</w:t>
            </w:r>
          </w:p>
        </w:tc>
      </w:tr>
      <w:tr>
        <w:tc>
          <w:tcPr>
            <w:tcW w:type="dxa" w:w="21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GeoJSON départements (IGN / Insee)</w:t>
            </w:r>
          </w:p>
        </w:tc>
        <w:tc>
          <w:tcPr>
            <w:tcW w:type="dxa" w:w="1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Fichier</w:t>
            </w:r>
          </w:p>
        </w:tc>
        <w:tc>
          <w:tcPr>
            <w:tcW w:type="dxa" w:w="17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HTTPS public</w:t>
            </w:r>
          </w:p>
        </w:tc>
        <w:tc>
          <w:tcPr>
            <w:tcW w:type="dxa" w:w="27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Contours des 8 départements : centre et superficie en base, carte</w:t>
            </w:r>
          </w:p>
        </w:tc>
        <w:tc>
          <w:tcPr>
            <w:tcW w:type="dxa" w:w="18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8 entités</w:t>
            </w:r>
          </w:p>
        </w:tc>
      </w:tr>
      <w:tr>
        <w:tc>
          <w:tcPr>
            <w:tcW w:type="dxa" w:w="21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Communes d’Île-de-France (IGN / Insee)</w:t>
            </w:r>
          </w:p>
        </w:tc>
        <w:tc>
          <w:tcPr>
            <w:tcW w:type="dxa" w:w="1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Fichier</w:t>
            </w:r>
          </w:p>
        </w:tc>
        <w:tc>
          <w:tcPr>
            <w:tcW w:type="dxa" w:w="17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HTTPS public</w:t>
            </w:r>
          </w:p>
        </w:tc>
        <w:tc>
          <w:tcPr>
            <w:tcW w:type="dxa" w:w="27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Code Insee, nom et département : localisation des offres Adzuna</w:t>
            </w:r>
          </w:p>
        </w:tc>
        <w:tc>
          <w:tcPr>
            <w:tcW w:type="dxa" w:w="18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1 276 communes</w:t>
            </w:r>
          </w:p>
        </w:tc>
      </w:tr>
    </w:tbl>
    <w:p>
      <w:pPr>
        <w:spacing w:after="80"/>
      </w:pPr>
    </w:p>
    <w:p>
      <w:pPr>
        <w:spacing w:after="120" w:line="290"/>
      </w:pPr>
      <w:r>
        <w:rPr>
          <w:rFonts w:ascii="Calibri" w:cs="Calibri" w:eastAsia="Calibri" w:hAnsi="Calibri"/>
          <w:color w:val="1E293B"/>
          <w:sz w:val="21"/>
          <w:szCs w:val="21"/>
        </w:rPr>
        <w:t xml:space="preserve">Les identifiants sont lus dans un fichier </w:t>
      </w:r>
      <w:r>
        <w:rPr>
          <w:rFonts w:ascii="Consolas" w:cs="Consolas" w:eastAsia="Consolas" w:hAnsi="Consolas"/>
          <w:color w:val="9A3412"/>
          <w:sz w:val="19"/>
          <w:szCs w:val="19"/>
        </w:rPr>
        <w:t xml:space="preserve">.env</w:t>
      </w:r>
      <w:r>
        <w:rPr>
          <w:rFonts w:ascii="Calibri" w:cs="Calibri" w:eastAsia="Calibri" w:hAnsi="Calibri"/>
          <w:color w:val="1E293B"/>
          <w:sz w:val="21"/>
          <w:szCs w:val="21"/>
        </w:rPr>
        <w:t xml:space="preserve"> exclu du dépôt (</w:t>
      </w:r>
      <w:r>
        <w:rPr>
          <w:rFonts w:ascii="Consolas" w:cs="Consolas" w:eastAsia="Consolas" w:hAnsi="Consolas"/>
          <w:color w:val="9A3412"/>
          <w:sz w:val="19"/>
          <w:szCs w:val="19"/>
        </w:rPr>
        <w:t xml:space="preserve">.gitignore</w:t>
      </w:r>
      <w:r>
        <w:rPr>
          <w:rFonts w:ascii="Calibri" w:cs="Calibri" w:eastAsia="Calibri" w:hAnsi="Calibri"/>
          <w:color w:val="1E293B"/>
          <w:sz w:val="21"/>
          <w:szCs w:val="21"/>
        </w:rPr>
        <w:t xml:space="preserve">) ; un modèle </w:t>
      </w:r>
      <w:r>
        <w:rPr>
          <w:rFonts w:ascii="Consolas" w:cs="Consolas" w:eastAsia="Consolas" w:hAnsi="Consolas"/>
          <w:color w:val="9A3412"/>
          <w:sz w:val="19"/>
          <w:szCs w:val="19"/>
        </w:rPr>
        <w:t xml:space="preserve">.env.example</w:t>
      </w:r>
      <w:r>
        <w:rPr>
          <w:rFonts w:ascii="Calibri" w:cs="Calibri" w:eastAsia="Calibri" w:hAnsi="Calibri"/>
          <w:color w:val="1E293B"/>
          <w:sz w:val="21"/>
          <w:szCs w:val="21"/>
        </w:rPr>
        <w:t xml:space="preserve"> documente les variables attendues.</w:t>
      </w:r>
    </w:p>
    <w:p>
      <w:pPr>
        <w:pStyle w:val="Heading2"/>
        <w:spacing w:after="120" w:before="260"/>
      </w:pPr>
      <w:r>
        <w:rPr>
          <w:rFonts w:ascii="Calibri" w:cs="Calibri" w:eastAsia="Calibri" w:hAnsi="Calibri"/>
          <w:b/>
          <w:bCs/>
          <w:color w:val="0F9D8A"/>
          <w:sz w:val="26"/>
          <w:szCs w:val="26"/>
        </w:rPr>
        <w:t xml:space="preserve">Authentification OAuth2 et pagination France Travail</w:t>
      </w:r>
    </w:p>
    <w:p>
      <w:pPr>
        <w:spacing w:after="120" w:line="290"/>
      </w:pPr>
      <w:r>
        <w:rPr>
          <w:rFonts w:ascii="Calibri" w:cs="Calibri" w:eastAsia="Calibri" w:hAnsi="Calibri"/>
          <w:color w:val="1E293B"/>
          <w:sz w:val="21"/>
          <w:szCs w:val="21"/>
        </w:rPr>
        <w:t xml:space="preserve">L’API France Travail renvoie au maximum 150 offres par appel et refuse une plage qui commence au-delà de 3 000. Pour couvrir l’Île-de-France, </w:t>
      </w:r>
      <w:r>
        <w:rPr>
          <w:rFonts w:ascii="Consolas" w:cs="Consolas" w:eastAsia="Consolas" w:hAnsi="Consolas"/>
          <w:color w:val="9A3412"/>
          <w:sz w:val="19"/>
          <w:szCs w:val="19"/>
        </w:rPr>
        <w:t xml:space="preserve">collect.py</w:t>
      </w:r>
      <w:r>
        <w:rPr>
          <w:rFonts w:ascii="Calibri" w:cs="Calibri" w:eastAsia="Calibri" w:hAnsi="Calibri"/>
          <w:color w:val="1E293B"/>
          <w:sz w:val="21"/>
          <w:szCs w:val="21"/>
        </w:rPr>
        <w:t xml:space="preserve"> interroge chaque département séparément et parcourt toutes les pages (0-149, 150-299 … 3000-3149). C’est ce qui explique la répartition très homogène des offres France Travail (environ 3 000 par département).</w:t>
      </w:r>
    </w:p>
    <w:p>
      <w:pPr>
        <w:spacing w:after="0" w:before="120"/>
      </w:pPr>
      <w:r>
        <w:rPr>
          <w:rFonts w:ascii="Consolas" w:cs="Consolas" w:eastAsia="Consolas" w:hAnsi="Consolas"/>
          <w:i/>
          <w:iCs/>
          <w:color w:val="64748B"/>
          <w:sz w:val="16"/>
          <w:szCs w:val="16"/>
        </w:rPr>
        <w:t xml:space="preserve">src/collect.py — obtention du jeton</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def ft_token(session: requests.Session, client_id: str, client_secret: str) -&gt; str:</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 = session.post(FT_TOKEN_URL, data={</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"grant_type": "client_credentials",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"client_id": client_id,</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"client_secret": client_secret,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"scope": "api_offresdemploiv2 o2dsoffre",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 timeout=30)</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r.raise_for_status()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token = r.json().get("access_token")</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if not token:</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raise RuntimeError("Token France Travail absent de la réponse")</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    return token</w:t>
      </w:r>
    </w:p>
    <w:p>
      <w:pPr>
        <w:spacing w:after="0" w:before="120"/>
      </w:pPr>
      <w:r>
        <w:rPr>
          <w:rFonts w:ascii="Consolas" w:cs="Consolas" w:eastAsia="Consolas" w:hAnsi="Consolas"/>
          <w:i/>
          <w:iCs/>
          <w:color w:val="64748B"/>
          <w:sz w:val="16"/>
          <w:szCs w:val="16"/>
        </w:rPr>
        <w:t xml:space="preserve">src/collect.py — pagination complète par département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def ft_offres_departement(session: requests.Session, token: str, dept: str) -&gt; list[dict]: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"""Parcourt toutes les pages d'un département : range=0-149, 150-299, … jusqu'à 3000-3149."""</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headers = {"Authorization": f"Bearer {token}", "Accept": "application/json"}</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offres: list[dict] =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for start in range(0, FT_MAX_START + 1, FT_PAGE):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params = {"departement": dept, "range": f"{start}-{start + FT_PAGE - 1}"}</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 = get_with_retry(session, FT_SEARCH_URL, params=params, headers=headers)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if r.status_code == 204:          # plus aucun résultat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break</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page = r.json().get("resultats",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offres.extend(page)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if len(page) &lt; FT_PAGE:           # dernière page atteinte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break</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time.sleep(0.1)                   # quota : 10 appels / seconde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log.info(f"  France Travail dépt {dept} : {len(offres)} offres")</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    return offres</w:t>
      </w:r>
    </w:p>
    <w:p>
      <w:pPr>
        <w:pStyle w:val="Heading2"/>
        <w:spacing w:after="120" w:before="260"/>
      </w:pPr>
      <w:r>
        <w:rPr>
          <w:rFonts w:ascii="Calibri" w:cs="Calibri" w:eastAsia="Calibri" w:hAnsi="Calibri"/>
          <w:b/>
          <w:bCs/>
          <w:color w:val="0F9D8A"/>
          <w:sz w:val="26"/>
          <w:szCs w:val="26"/>
        </w:rPr>
        <w:t xml:space="preserve">Robustesse de la collecte</w:t>
      </w:r>
    </w:p>
    <w:p>
      <w:pPr>
        <w:spacing w:after="0" w:before="120"/>
      </w:pPr>
      <w:r>
        <w:rPr>
          <w:rFonts w:ascii="Consolas" w:cs="Consolas" w:eastAsia="Consolas" w:hAnsi="Consolas"/>
          <w:i/>
          <w:iCs/>
          <w:color w:val="64748B"/>
          <w:sz w:val="16"/>
          <w:szCs w:val="16"/>
        </w:rPr>
        <w:t xml:space="preserve">src/collect.py — reprise sur erreur</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def get_with_retry(session: requests.Session, url: str, *, params=None, headers=None,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tries: int = 3, timeout: int = 30) -&gt; requests.Response: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"""GET avec 3 tentatives et back-off exponentiel (1 s, 2 s, 4 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Respecte l'en-tête Retry-After renvoyé avec un HTTP 429."""</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for attempt in range(1, tries + 1):</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try:</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 = session.get(url, params=params, headers=headers, timeout=timeout)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if r.status_code == 429:</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wait = int(r.headers.get("Retry-After", 2 ** attempt))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log.warning(f"HTTP 429 — pause {wait}s (tentative {attempt}/{tries})")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time.sleep(wait)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continue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r.raise_for_status()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return r</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except requests.RequestException as 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if attempt == tries: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raise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log.warning(f"Erreur réseau ({e}) — nouvelle tentative dans {2 ** (attempt - 1)}s")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time.sleep(2 ** (attempt - 1))</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    raise RuntimeError(f"Échec après {tries} tentatives : {url}")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shd w:fill="0F9D8A"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Mécanisme</w:t>
            </w:r>
          </w:p>
        </w:tc>
        <w:tc>
          <w:tcPr>
            <w:tcW w:type="dxa" w:w="7338"/>
            <w:shd w:fill="0F9D8A"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Mise en œuvre</w:t>
            </w:r>
          </w:p>
        </w:tc>
      </w:tr>
      <w:tr>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Reprise sur erreur</w:t>
            </w:r>
          </w:p>
        </w:tc>
        <w:tc>
          <w:tcPr>
            <w:tcW w:type="dxa" w:w="73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3 tentatives, attente exponentielle (1 s, 2 s, 4 s) ; respect de l’en-tête </w:t>
            </w:r>
            <w:r>
              <w:rPr>
                <w:rFonts w:ascii="Consolas" w:cs="Consolas" w:eastAsia="Consolas" w:hAnsi="Consolas"/>
                <w:color w:val="9A3412"/>
                <w:sz w:val="19"/>
                <w:szCs w:val="19"/>
              </w:rPr>
              <w:t xml:space="preserve">Retry-After</w:t>
            </w:r>
            <w:r>
              <w:rPr>
                <w:rFonts w:ascii="Calibri" w:cs="Calibri" w:eastAsia="Calibri" w:hAnsi="Calibri"/>
                <w:color w:val="1E293B"/>
                <w:sz w:val="21"/>
                <w:szCs w:val="21"/>
              </w:rPr>
              <w:t xml:space="preserve"> d’un HTTP 429</w:t>
            </w:r>
          </w:p>
        </w:tc>
      </w:tr>
      <w:tr>
        <w:tc>
          <w:tcPr>
            <w:tcW w:type="dxa" w:w="2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Respect des quotas</w:t>
            </w:r>
          </w:p>
        </w:tc>
        <w:tc>
          <w:tcPr>
            <w:tcW w:type="dxa" w:w="73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Pause de 100 ms entre deux pages France Travail (limite : 10 appels/s)</w:t>
            </w:r>
          </w:p>
        </w:tc>
      </w:tr>
      <w:tr>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Idempotence</w:t>
            </w:r>
          </w:p>
        </w:tc>
        <w:tc>
          <w:tcPr>
            <w:tcW w:type="dxa" w:w="73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Un fichier brut par source et par jour ; déjà présent → non re-téléchargé (</w:t>
            </w:r>
            <w:r>
              <w:rPr>
                <w:rFonts w:ascii="Consolas" w:cs="Consolas" w:eastAsia="Consolas" w:hAnsi="Consolas"/>
                <w:color w:val="9A3412"/>
                <w:sz w:val="19"/>
                <w:szCs w:val="19"/>
              </w:rPr>
              <w:t xml:space="preserve">--force</w:t>
            </w:r>
            <w:r>
              <w:rPr>
                <w:rFonts w:ascii="Calibri" w:cs="Calibri" w:eastAsia="Calibri" w:hAnsi="Calibri"/>
                <w:color w:val="1E293B"/>
                <w:sz w:val="21"/>
                <w:szCs w:val="21"/>
              </w:rPr>
              <w:t xml:space="preserve"> pour forcer)</w:t>
            </w:r>
          </w:p>
        </w:tc>
      </w:tr>
      <w:tr>
        <w:tc>
          <w:tcPr>
            <w:tcW w:type="dxa" w:w="2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Traçabilité</w:t>
            </w:r>
          </w:p>
        </w:tc>
        <w:tc>
          <w:tcPr>
            <w:tcW w:type="dxa" w:w="73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Journal horodaté </w:t>
            </w:r>
            <w:r>
              <w:rPr>
                <w:rFonts w:ascii="Consolas" w:cs="Consolas" w:eastAsia="Consolas" w:hAnsi="Consolas"/>
                <w:color w:val="9A3412"/>
                <w:sz w:val="19"/>
                <w:szCs w:val="19"/>
              </w:rPr>
              <w:t xml:space="preserve">logs/collect_AAAAMMJJ_HHMMSS.log</w:t>
            </w:r>
            <w:r>
              <w:rPr>
                <w:rFonts w:ascii="Calibri" w:cs="Calibri" w:eastAsia="Calibri" w:hAnsi="Calibri"/>
                <w:color w:val="1E293B"/>
                <w:sz w:val="21"/>
                <w:szCs w:val="21"/>
              </w:rPr>
              <w:t xml:space="preserve"> (fichier + console) ; empreinte MD5 de chaque fichier</w:t>
            </w:r>
          </w:p>
        </w:tc>
      </w:tr>
      <w:tr>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Isolation des échecs</w:t>
            </w:r>
          </w:p>
        </w:tc>
        <w:tc>
          <w:tcPr>
            <w:tcW w:type="dxa" w:w="73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Une source en échec n’arrête pas les autres ; code retour 1 si une source échoue (exploitable par cron / CI)</w:t>
            </w:r>
          </w:p>
        </w:tc>
      </w:tr>
      <w:tr>
        <w:tc>
          <w:tcPr>
            <w:tcW w:type="dxa" w:w="2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Contrôle des fichiers</w:t>
            </w:r>
          </w:p>
        </w:tc>
        <w:tc>
          <w:tcPr>
            <w:tcW w:type="dxa" w:w="73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GeoJSON : les 8 départements doivent être présents ; communes : au moins 1 200, réparties sur les 8 départements, sinon exception</w:t>
            </w:r>
          </w:p>
        </w:tc>
      </w:tr>
      <w:tr>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Aplatissement</w:t>
            </w:r>
          </w:p>
        </w:tc>
        <w:tc>
          <w:tcPr>
            <w:tcW w:type="dxa" w:w="7338"/>
            <w:tcMar>
              <w:top w:type="dxa" w:w="70"/>
              <w:left w:type="dxa" w:w="100"/>
              <w:bottom w:type="dxa" w:w="70"/>
              <w:right w:type="dxa" w:w="100"/>
            </w:tcMar>
          </w:tcPr>
          <w:p>
            <w:pPr>
              <w:spacing w:after="0" w:line="260"/>
            </w:pPr>
            <w:r>
              <w:rPr>
                <w:rFonts w:ascii="Consolas" w:cs="Consolas" w:eastAsia="Consolas" w:hAnsi="Consolas"/>
                <w:color w:val="9A3412"/>
                <w:sz w:val="19"/>
                <w:szCs w:val="19"/>
              </w:rPr>
              <w:t xml:space="preserve">ft_aplatir()</w:t>
            </w:r>
            <w:r>
              <w:rPr>
                <w:rFonts w:ascii="Calibri" w:cs="Calibri" w:eastAsia="Calibri" w:hAnsi="Calibri"/>
                <w:color w:val="1E293B"/>
                <w:sz w:val="21"/>
                <w:szCs w:val="21"/>
              </w:rPr>
              <w:t xml:space="preserve"> / </w:t>
            </w:r>
            <w:r>
              <w:rPr>
                <w:rFonts w:ascii="Consolas" w:cs="Consolas" w:eastAsia="Consolas" w:hAnsi="Consolas"/>
                <w:color w:val="9A3412"/>
                <w:sz w:val="19"/>
                <w:szCs w:val="19"/>
              </w:rPr>
              <w:t xml:space="preserve">adzuna_aplatir()</w:t>
            </w:r>
            <w:r>
              <w:rPr>
                <w:rFonts w:ascii="Calibri" w:cs="Calibri" w:eastAsia="Calibri" w:hAnsi="Calibri"/>
                <w:color w:val="1E293B"/>
                <w:sz w:val="21"/>
                <w:szCs w:val="21"/>
              </w:rPr>
              <w:t xml:space="preserve"> transforment le JSON imbriqué en lignes plates au schéma attendu par C2</w:t>
            </w:r>
          </w:p>
        </w:tc>
      </w:tr>
    </w:tbl>
    <w:p>
      <w:pPr>
        <w:spacing w:after="80"/>
      </w:pPr>
    </w:p>
    <w:p>
      <w:pPr>
        <w:spacing w:after="0" w:before="120"/>
      </w:pPr>
      <w:r>
        <w:rPr>
          <w:rFonts w:ascii="Consolas" w:cs="Consolas" w:eastAsia="Consolas" w:hAnsi="Consolas"/>
          <w:i/>
          <w:iCs/>
          <w:color w:val="64748B"/>
          <w:sz w:val="16"/>
          <w:szCs w:val="16"/>
        </w:rPr>
        <w:t xml:space="preserve">Exécution réelle — journal de collecte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python src/collect.py --source geojson</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15:50:45 | INFO | === PPMT — Collecte C1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15:50:45 | INFO | GeoJSON : 8 départements IDF → departements_idf.geojson (MD5 ec919e5ad96f6219a8d8d0e5b6ad5da7)</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15:50:45 | INFO | Terminé — 1/1 sources OK — journal : collect_20260928_155045.log</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python src/collect.py --source geojson          # 2e exécution : idempotence</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15:50:46 | INFO | GeoJSON : déjà présent (MD5 ec919e5ad96f6219a8d8d0e5b6ad5da7) — ignoré</w:t>
      </w:r>
    </w:p>
    <w:p>
      <w:pPr>
        <w:pStyle w:val="Heading1"/>
        <w:pageBreakBefore/>
        <w:pBdr>
          <w:bottom w:val="single" w:color="6D28D9" w:sz="12" w:space="4"/>
        </w:pBdr>
        <w:spacing w:after="200"/>
      </w:pPr>
      <w:r>
        <w:rPr>
          <w:rFonts w:ascii="Calibri" w:cs="Calibri" w:eastAsia="Calibri" w:hAnsi="Calibri"/>
          <w:b/>
          <w:bCs/>
          <w:color w:val="6D28D9"/>
          <w:sz w:val="34"/>
          <w:szCs w:val="34"/>
        </w:rPr>
        <w:t xml:space="preserve">5. C2 — Préparer les données pour leur première utilisation</w:t>
      </w:r>
    </w:p>
    <w:p>
      <w:pPr>
        <w:spacing w:after="120" w:line="290"/>
      </w:pPr>
      <w:r>
        <w:rPr>
          <w:rFonts w:ascii="Calibri" w:cs="Calibri" w:eastAsia="Calibri" w:hAnsi="Calibri"/>
          <w:color w:val="1E293B"/>
          <w:sz w:val="21"/>
          <w:szCs w:val="21"/>
        </w:rPr>
        <w:t xml:space="preserve">Les deux sources n’ont ni le même schéma, ni les mêmes conventions. </w:t>
      </w:r>
      <w:r>
        <w:rPr>
          <w:rFonts w:ascii="Consolas" w:cs="Consolas" w:eastAsia="Consolas" w:hAnsi="Consolas"/>
          <w:color w:val="9A3412"/>
          <w:sz w:val="19"/>
          <w:szCs w:val="19"/>
        </w:rPr>
        <w:t xml:space="preserve">prepare.py</w:t>
      </w:r>
      <w:r>
        <w:rPr>
          <w:rFonts w:ascii="Calibri" w:cs="Calibri" w:eastAsia="Calibri" w:hAnsi="Calibri"/>
          <w:color w:val="1E293B"/>
          <w:sz w:val="21"/>
          <w:szCs w:val="21"/>
        </w:rPr>
        <w:t xml:space="preserve"> applique des </w:t>
      </w:r>
      <w:r>
        <w:rPr>
          <w:rFonts w:ascii="Calibri" w:cs="Calibri" w:eastAsia="Calibri" w:hAnsi="Calibri"/>
          <w:b/>
          <w:bCs/>
          <w:color w:val="1E293B"/>
          <w:sz w:val="21"/>
          <w:szCs w:val="21"/>
        </w:rPr>
        <w:t xml:space="preserve">règles unitaires</w:t>
      </w:r>
      <w:r>
        <w:rPr>
          <w:rFonts w:ascii="Calibri" w:cs="Calibri" w:eastAsia="Calibri" w:hAnsi="Calibri"/>
          <w:color w:val="1E293B"/>
          <w:sz w:val="21"/>
          <w:szCs w:val="21"/>
        </w:rPr>
        <w:t xml:space="preserve"> (une fonction = une règle, chacune testée) puis projette les deux sources sur un </w:t>
      </w:r>
      <w:r>
        <w:rPr>
          <w:rFonts w:ascii="Calibri" w:cs="Calibri" w:eastAsia="Calibri" w:hAnsi="Calibri"/>
          <w:b/>
          <w:bCs/>
          <w:color w:val="1E293B"/>
          <w:sz w:val="21"/>
          <w:szCs w:val="21"/>
        </w:rPr>
        <w:t xml:space="preserve">schéma commun de 19 colonnes</w:t>
      </w:r>
      <w:r>
        <w:rPr>
          <w:rFonts w:ascii="Calibri" w:cs="Calibri" w:eastAsia="Calibri" w:hAnsi="Calibri"/>
          <w:color w:val="1E293B"/>
          <w:sz w:val="21"/>
          <w:szCs w:val="21"/>
        </w:rPr>
        <w:t xml:space="preserve">.</w:t>
      </w:r>
    </w:p>
    <w:p>
      <w:pPr>
        <w:pStyle w:val="Heading2"/>
        <w:spacing w:after="120" w:before="260"/>
      </w:pPr>
      <w:r>
        <w:rPr>
          <w:rFonts w:ascii="Calibri" w:cs="Calibri" w:eastAsia="Calibri" w:hAnsi="Calibri"/>
          <w:b/>
          <w:bCs/>
          <w:color w:val="6D28D9"/>
          <w:sz w:val="26"/>
          <w:szCs w:val="26"/>
        </w:rPr>
        <w:t xml:space="preserve">Problèmes détectés et méthodes retenues</w:t>
      </w:r>
    </w:p>
    <w:p>
      <w:pPr>
        <w:spacing w:after="120" w:line="290"/>
      </w:pPr>
      <w:r>
        <w:rPr>
          <w:rFonts w:ascii="Calibri" w:cs="Calibri" w:eastAsia="Calibri" w:hAnsi="Calibri"/>
          <w:color w:val="1E293B"/>
          <w:sz w:val="21"/>
          <w:szCs w:val="21"/>
        </w:rPr>
        <w:t xml:space="preserve">Pour chaque problème, j’ai comparé la méthode de la V1 et celle de la V2, et retenu la combinaison qui garde le plus de données tout en restant fiable.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750"/>
        <w:gridCol w:w="2600"/>
        <w:gridCol w:w="2288"/>
      </w:tblGrid>
      <w:tr>
        <w:trPr>
          <w:tblHeader/>
        </w:trPr>
        <w:tc>
          <w:tcPr>
            <w:tcW w:type="dxa" w:w="2000"/>
            <w:shd w:fill="6D28D9"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Problème</w:t>
            </w:r>
          </w:p>
        </w:tc>
        <w:tc>
          <w:tcPr>
            <w:tcW w:type="dxa" w:w="2750"/>
            <w:shd w:fill="6D28D9"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Méthode retenue</w:t>
            </w:r>
          </w:p>
        </w:tc>
        <w:tc>
          <w:tcPr>
            <w:tcW w:type="dxa" w:w="2600"/>
            <w:shd w:fill="6D28D9"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Justification</w:t>
            </w:r>
          </w:p>
        </w:tc>
        <w:tc>
          <w:tcPr>
            <w:tcW w:type="dxa" w:w="2288"/>
            <w:shd w:fill="6D28D9"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Résultat</w:t>
            </w:r>
          </w:p>
        </w:tc>
      </w:tr>
      <w:tr>
        <w:tc>
          <w:tcPr>
            <w:tcW w:type="dxa" w:w="2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Salaires non affichés : 64 % des offres (63 % Adzuna, 65 % France Travail)</w:t>
            </w:r>
          </w:p>
        </w:tc>
        <w:tc>
          <w:tcPr>
            <w:tcW w:type="dxa" w:w="275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Médiane des salaires affichés du groupe le plus précis (≥ 3 salaires) : métier × département → métier → domaine ROME → département → Île-de-France. Colonnes </w:t>
            </w:r>
            <w:r>
              <w:rPr>
                <w:rFonts w:ascii="Consolas" w:cs="Consolas" w:eastAsia="Consolas" w:hAnsi="Consolas"/>
                <w:color w:val="9A3412"/>
                <w:sz w:val="19"/>
                <w:szCs w:val="19"/>
              </w:rPr>
              <w:t xml:space="preserve">salaire_impute</w:t>
            </w:r>
            <w:r>
              <w:rPr>
                <w:rFonts w:ascii="Calibri" w:cs="Calibri" w:eastAsia="Calibri" w:hAnsi="Calibri"/>
                <w:color w:val="1E293B"/>
                <w:sz w:val="21"/>
                <w:szCs w:val="21"/>
              </w:rPr>
              <w:t xml:space="preserve"> et </w:t>
            </w:r>
            <w:r>
              <w:rPr>
                <w:rFonts w:ascii="Consolas" w:cs="Consolas" w:eastAsia="Consolas" w:hAnsi="Consolas"/>
                <w:color w:val="9A3412"/>
                <w:sz w:val="19"/>
                <w:szCs w:val="19"/>
              </w:rPr>
              <w:t xml:space="preserve">salaire_source</w:t>
            </w:r>
          </w:p>
        </w:tc>
        <w:tc>
          <w:tcPr>
            <w:tcW w:type="dxa" w:w="26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Médiane robuste aux salaires extrêmes (V1). Le métier explique davantage le salaire que le département (V2). Les indicateurs n’utilisent que les salaires affichés : pas d’enrichissement circulaire</w:t>
            </w:r>
          </w:p>
        </w:tc>
        <w:tc>
          <w:tcPr>
            <w:tcW w:type="dxa" w:w="228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100 % des offres ont un salaire. Affichés : 10 270 ; métier × département : 9 268 ; métier : 5 266 ; domaine : 2 554 ; département : 845 ; région : 16</w:t>
            </w:r>
          </w:p>
        </w:tc>
      </w:tr>
      <w:tr>
        <w:tc>
          <w:tcPr>
            <w:tcW w:type="dxa" w:w="2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Doublons : même offre publiée plusieurs fois ou sur les deux sources</w:t>
            </w:r>
          </w:p>
        </w:tc>
        <w:tc>
          <w:tcPr>
            <w:tcW w:type="dxa" w:w="275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URL, puis empreinte titre + entreprise + lieu, entre les deux sources ; priorité à France Travail</w:t>
            </w:r>
          </w:p>
        </w:tc>
        <w:tc>
          <w:tcPr>
            <w:tcW w:type="dxa" w:w="26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Une même offre a des URL différentes (V1) et peut être publiée sur les deux sources (V2)</w:t>
            </w:r>
          </w:p>
        </w:tc>
        <w:tc>
          <w:tcPr>
            <w:tcW w:type="dxa" w:w="228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Adzuna 12 500 → 4 626 (V1), puis 361 doublons de plus ; 0 doublon en base (UNIQUE)</w:t>
            </w:r>
          </w:p>
        </w:tc>
      </w:tr>
      <w:tr>
        <w:tc>
          <w:tcPr>
            <w:tcW w:type="dxa" w:w="2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Entreprises non renseignées (64,7 % France Travail)</w:t>
            </w:r>
          </w:p>
        </w:tc>
        <w:tc>
          <w:tcPr>
            <w:tcW w:type="dxa" w:w="275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 Non renseigné », exclu du comptage des entreprises</w:t>
            </w:r>
          </w:p>
        </w:tc>
        <w:tc>
          <w:tcPr>
            <w:tcW w:type="dxa" w:w="26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Ne rien inventer ; garder </w:t>
            </w:r>
            <w:r>
              <w:rPr>
                <w:rFonts w:ascii="Consolas" w:cs="Consolas" w:eastAsia="Consolas" w:hAnsi="Consolas"/>
                <w:color w:val="9A3412"/>
                <w:sz w:val="19"/>
                <w:szCs w:val="19"/>
              </w:rPr>
              <w:t xml:space="preserve">nb_entreprises</w:t>
            </w:r>
            <w:r>
              <w:rPr>
                <w:rFonts w:ascii="Calibri" w:cs="Calibri" w:eastAsia="Calibri" w:hAnsi="Calibri"/>
                <w:color w:val="1E293B"/>
                <w:sz w:val="21"/>
                <w:szCs w:val="21"/>
              </w:rPr>
              <w:t xml:space="preserve"> juste</w:t>
            </w:r>
          </w:p>
        </w:tc>
        <w:tc>
          <w:tcPr>
            <w:tcW w:type="dxa" w:w="228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0 valeur vide</w:t>
            </w:r>
          </w:p>
        </w:tc>
      </w:tr>
      <w:tr>
        <w:tc>
          <w:tcPr>
            <w:tcW w:type="dxa" w:w="2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Salaires horaires, mensuels, annuels ; bornes inversées</w:t>
            </w:r>
          </w:p>
        </w:tc>
        <w:tc>
          <w:tcPr>
            <w:tcW w:type="dxa" w:w="275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 1 820 h ou × 12 ; bornes 10 k€ – 300 k€ ; min et max permutés si inversés</w:t>
            </w:r>
          </w:p>
        </w:tc>
        <w:tc>
          <w:tcPr>
            <w:tcW w:type="dxa" w:w="26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Comparer des montants de même nature</w:t>
            </w:r>
          </w:p>
        </w:tc>
        <w:tc>
          <w:tcPr>
            <w:tcW w:type="dxa" w:w="228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149 fourchettes corrigées</w:t>
            </w:r>
          </w:p>
        </w:tc>
      </w:tr>
      <w:tr>
        <w:tc>
          <w:tcPr>
            <w:tcW w:type="dxa" w:w="2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Contrats hétérogènes (« CDD - 12 Mois », « permanent », « Temps plein »)</w:t>
            </w:r>
          </w:p>
        </w:tc>
        <w:tc>
          <w:tcPr>
            <w:tcW w:type="dxa" w:w="275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7 catégories : CDI, CDD, Intérim, Alternance, Libéral, Autre, Non renseigné ; temps de travail Adzuna dans une colonne à part</w:t>
            </w:r>
          </w:p>
        </w:tc>
        <w:tc>
          <w:tcPr>
            <w:tcW w:type="dxa" w:w="26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Plus précis que les 4 catégories de la V1, sans confondre « non renseigné » et « autre »</w:t>
            </w:r>
          </w:p>
        </w:tc>
        <w:tc>
          <w:tcPr>
            <w:tcW w:type="dxa" w:w="228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Croisement des deux sources possible</w:t>
            </w:r>
          </w:p>
        </w:tc>
      </w:tr>
      <w:tr>
        <w:tc>
          <w:tcPr>
            <w:tcW w:type="dxa" w:w="2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Dates en formats mixtes</w:t>
            </w:r>
          </w:p>
        </w:tc>
        <w:tc>
          <w:tcPr>
            <w:tcW w:type="dxa" w:w="275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ISO 8601 en base ; vue </w:t>
            </w:r>
            <w:r>
              <w:rPr>
                <w:rFonts w:ascii="Consolas" w:cs="Consolas" w:eastAsia="Consolas" w:hAnsi="Consolas"/>
                <w:color w:val="9A3412"/>
                <w:sz w:val="19"/>
                <w:szCs w:val="19"/>
              </w:rPr>
              <w:t xml:space="preserve">v_offres_analyse</w:t>
            </w:r>
            <w:r>
              <w:rPr>
                <w:rFonts w:ascii="Calibri" w:cs="Calibri" w:eastAsia="Calibri" w:hAnsi="Calibri"/>
                <w:color w:val="1E293B"/>
                <w:sz w:val="21"/>
                <w:szCs w:val="21"/>
              </w:rPr>
              <w:t xml:space="preserve"> : année, mois, âge, offre récente</w:t>
            </w:r>
          </w:p>
        </w:tc>
        <w:tc>
          <w:tcPr>
            <w:tcW w:type="dxa" w:w="26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Colonnes d’analyse de la V1 conservées, calculées à la volée (pas de redondance)</w:t>
            </w:r>
          </w:p>
        </w:tc>
        <w:tc>
          <w:tcPr>
            <w:tcW w:type="dxa" w:w="228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Tri, filtres et âge des offres</w:t>
            </w:r>
          </w:p>
        </w:tc>
      </w:tr>
      <w:tr>
        <w:tc>
          <w:tcPr>
            <w:tcW w:type="dxa" w:w="2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Codes ROME absents chez Adzuna</w:t>
            </w:r>
          </w:p>
        </w:tc>
        <w:tc>
          <w:tcPr>
            <w:tcW w:type="dxa" w:w="275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1. intitulé identique à des offres France Travail ; 2. catégorie Adzuna → ROME (V1) ; 3. vide. Code fourre-tout M1607 écarté</w:t>
            </w:r>
          </w:p>
        </w:tc>
        <w:tc>
          <w:tcPr>
            <w:tcW w:type="dxa" w:w="26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L’intitulé est plus précis que la catégorie : Adzuna classe « Comptable » en restauration</w:t>
            </w:r>
          </w:p>
        </w:tc>
        <w:tc>
          <w:tcPr>
            <w:tcW w:type="dxa" w:w="228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596 codes par intitulé, 2 763 par catégorie ; 1 169 offres sans code, exclues du calcul de tension</w:t>
            </w:r>
          </w:p>
        </w:tc>
      </w:tr>
      <w:tr>
        <w:tc>
          <w:tcPr>
            <w:tcW w:type="dxa" w:w="2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Lieux Adzuna sans département (« Montévrain, Lagny-sur-Marne »)</w:t>
            </w:r>
          </w:p>
        </w:tc>
        <w:tc>
          <w:tcPr>
            <w:tcW w:type="dxa" w:w="275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Code du libellé, nom de département, puis référentiel des 1 276 communes d’Île-de-France (IGN / Insee) et pôles connus (La Défense)</w:t>
            </w:r>
          </w:p>
        </w:tc>
        <w:tc>
          <w:tcPr>
            <w:tcW w:type="dxa" w:w="26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Remplace les listes de villes écrites à la main, qui se trompaient (Viry-Châtillon classé dans le 92)</w:t>
            </w:r>
          </w:p>
        </w:tc>
        <w:tc>
          <w:tcPr>
            <w:tcW w:type="dxa" w:w="228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Sans département : 675 → 81 (lieu « Île-de-France » seul) ; 47 départements corrigés ; 15 offres hors région supprimées</w:t>
            </w:r>
          </w:p>
        </w:tc>
      </w:tr>
      <w:tr>
        <w:tc>
          <w:tcPr>
            <w:tcW w:type="dxa" w:w="2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Intitulés bruités</w:t>
            </w:r>
          </w:p>
        </w:tc>
        <w:tc>
          <w:tcPr>
            <w:tcW w:type="dxa" w:w="275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Espaces normalisés ; mention « (H/F) » retirée</w:t>
            </w:r>
          </w:p>
        </w:tc>
        <w:tc>
          <w:tcPr>
            <w:tcW w:type="dxa" w:w="26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Regrouper les mêmes intitulés</w:t>
            </w:r>
          </w:p>
        </w:tc>
        <w:tc>
          <w:tcPr>
            <w:tcW w:type="dxa" w:w="228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1 823 intitulés nettoyés</w:t>
            </w:r>
          </w:p>
        </w:tc>
      </w:tr>
      <w:tr>
        <w:tc>
          <w:tcPr>
            <w:tcW w:type="dxa" w:w="2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Coordonnées de recruteurs dans les descriptions</w:t>
            </w:r>
          </w:p>
        </w:tc>
        <w:tc>
          <w:tcPr>
            <w:tcW w:type="dxa" w:w="275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Masquage </w:t>
            </w:r>
            <w:r>
              <w:rPr>
                <w:rFonts w:ascii="Consolas" w:cs="Consolas" w:eastAsia="Consolas" w:hAnsi="Consolas"/>
                <w:color w:val="9A3412"/>
                <w:sz w:val="19"/>
                <w:szCs w:val="19"/>
              </w:rPr>
              <w:t xml:space="preserve">[email]</w:t>
            </w:r>
            <w:r>
              <w:rPr>
                <w:rFonts w:ascii="Calibri" w:cs="Calibri" w:eastAsia="Calibri" w:hAnsi="Calibri"/>
                <w:color w:val="1E293B"/>
                <w:sz w:val="21"/>
                <w:szCs w:val="21"/>
              </w:rPr>
              <w:t xml:space="preserve"> / </w:t>
            </w:r>
            <w:r>
              <w:rPr>
                <w:rFonts w:ascii="Consolas" w:cs="Consolas" w:eastAsia="Consolas" w:hAnsi="Consolas"/>
                <w:color w:val="9A3412"/>
                <w:sz w:val="19"/>
                <w:szCs w:val="19"/>
              </w:rPr>
              <w:t xml:space="preserve">[tel]</w:t>
            </w:r>
          </w:p>
        </w:tc>
        <w:tc>
          <w:tcPr>
            <w:tcW w:type="dxa" w:w="26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RGPD : minimisation</w:t>
            </w:r>
          </w:p>
        </w:tc>
        <w:tc>
          <w:tcPr>
            <w:tcW w:type="dxa" w:w="228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4 e-mails et 5 téléphones masqués</w:t>
            </w:r>
          </w:p>
        </w:tc>
      </w:tr>
    </w:tbl>
    <w:p>
      <w:pPr>
        <w:pStyle w:val="Heading2"/>
        <w:spacing w:after="120" w:before="260"/>
      </w:pPr>
      <w:r>
        <w:rPr>
          <w:rFonts w:ascii="Calibri" w:cs="Calibri" w:eastAsia="Calibri" w:hAnsi="Calibri"/>
          <w:b/>
          <w:bCs/>
          <w:color w:val="6D28D9"/>
          <w:sz w:val="26"/>
          <w:szCs w:val="26"/>
        </w:rPr>
        <w:t xml:space="preserve">Exemples de règles</w:t>
      </w:r>
    </w:p>
    <w:p>
      <w:pPr>
        <w:spacing w:after="0" w:before="120"/>
      </w:pPr>
      <w:r>
        <w:rPr>
          <w:rFonts w:ascii="Consolas" w:cs="Consolas" w:eastAsia="Consolas" w:hAnsi="Consolas"/>
          <w:i/>
          <w:iCs/>
          <w:color w:val="64748B"/>
          <w:sz w:val="16"/>
          <w:szCs w:val="16"/>
        </w:rPr>
        <w:t xml:space="preserve">src/prepare.py</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def normaliser_salaire_annuel(val):</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"""Ramène un montant en € brut annuel : &lt; 100 → horaire (×1 820 h), &lt; 5 000 → mensuel (×12).</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Hors bornes [10 000 ; 300 000] → valeur aberrante, remplacée par NaN."""</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if val is None or pd.isna(val):</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return None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val = float(val)</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if val &lt; 100:</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val *= 1820</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elif val &lt; 5000:</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val *= 12</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    return val if 10_000 &lt;= val &lt;= 300_000 else None</w:t>
      </w:r>
    </w:p>
    <w:p>
      <w:pPr>
        <w:spacing w:after="0" w:before="120"/>
      </w:pPr>
      <w:r>
        <w:rPr>
          <w:rFonts w:ascii="Consolas" w:cs="Consolas" w:eastAsia="Consolas" w:hAnsi="Consolas"/>
          <w:i/>
          <w:iCs/>
          <w:color w:val="64748B"/>
          <w:sz w:val="16"/>
          <w:szCs w:val="16"/>
        </w:rPr>
        <w:t xml:space="preserve">src/prepare.py — salaires non affichés : cascade de médianes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def imputer_salaires(df: pd.DataFrame, min_obs: int = 3) -&gt; tuple[pd.DataFrame, dict]: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"""Salaire non affiché → médiane des salaires AFFICHÉS du groupe le plus précis qui en compte au moins `min_obs`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1. même métier ROME dans le même département   (ex. aide-soignant dans le 93)</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2. même métier ROME en Île-de-France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3. même domaine ROME (3 premiers caractères, ex. J15 = soins)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4. même département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5. toute l'Île-de-France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Combine la V1 (médiane par département puis par catégorie) et la V2 (médiane par métier).</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La médiane, pas la moyenne : quelques salaires très élevés ne la déplacent pas.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salaire_min / salaire_max restent vides (on n'invente pas de fourchette) ; salaire_impute = 1 et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salaire_source indiquent la valeur calculée, et les indicateurs n'utilisent que les salaires affichés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c'est ce qui évite l'« enrichissement circulaire » (des valeurs imputées qui se confirmeraient elles-mêmes)."""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df = df.copy()</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for col in ("code_rome", "code_dept"):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if col not in df:</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df[col] = None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affiche = df["salaire_moyen"].notna()</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df["salaire_impute"] = (~affiche).astype(int)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df["salaire_source"] = pd.Series("affiché", index=df.index).where(affiche, None)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df["_domaine"] = df["code_rome"].str[:3]</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obs = df[affiche]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niveaux = [(["code_rome", "code_dept"], NIVEAUX_SALAIRE[1]), (["code_rome"], NIVEAUX_SALAIRE[2]),</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(["_domaine"], NIVEAUX_SALAIRE[3]), (["code_dept"], NIVEAUX_SALAIRE[4])]</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for cles, nom in niveaux:</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med = obs.groupby(cles)["salaire_moyen"].agg(["median", "count"])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med = med.loc[med["count"] &gt;= min_obs, "median"]</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a_remplir = df["salaire_moyen"].isna() &amp; df[cles].notna().all(axis=1)</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if not a_remplir.any() or med.empty:</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continue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idx = pd.MultiIndex.from_frame(df.loc[a_remplir, cles]) if len(cles) &gt; 1 else df.loc[a_remplir, cles[0]]</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valeurs = pd.Series(med.reindex(idx).to_numpy(), index=df.index[a_remplir])</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ok = valeurs.notna()</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df.loc[valeurs.index[ok], "salaire_moyen"] = valeurs[ok].round(0)</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df.loc[valeurs.index[ok], "salaire_source"] = nom</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mediane_globale = float(obs["salaire_moyen"].median())</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reste = df["salaire_moyen"].isna()</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df.loc[reste, "salaire_moyen"] = round(mediane_globale)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df.loc[reste, "salaire_source"] = NIVEAUX_SALAIRE[5]</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stats = df["salaire_source"].value_counts().reindex(NIVEAUX_SALAIRE, fill_value=0).to_dict()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stats["valeur_mediane_globale"] = round(mediane_globale)</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    return df.drop(columns="_domaine"), stats</w:t>
      </w:r>
    </w:p>
    <w:p>
      <w:pPr>
        <w:spacing w:after="120" w:line="290"/>
      </w:pPr>
      <w:r>
        <w:rPr>
          <w:rFonts w:ascii="Calibri" w:cs="Calibri" w:eastAsia="Calibri" w:hAnsi="Calibri"/>
          <w:color w:val="1E293B"/>
          <w:sz w:val="21"/>
          <w:szCs w:val="21"/>
        </w:rPr>
        <w:t xml:space="preserve">Pourquoi la médiane : sur les salaires affichés en Île-de-France, la moyenne est de 33 463 € et la médiane de 27 120 €. Quelques salaires très élevés tirent la moyenne vers le haut ; la médiane représente mieux une offre typique. Les indicateurs par métier et par département sont ensuite calculés sur les seuls salaires affichés, pour que les valeurs complétées ne se confirment pas elles-mêmes.</w:t>
      </w:r>
    </w:p>
    <w:p>
      <w:pPr>
        <w:spacing w:after="0" w:before="120"/>
      </w:pPr>
      <w:r>
        <w:rPr>
          <w:rFonts w:ascii="Consolas" w:cs="Consolas" w:eastAsia="Consolas" w:hAnsi="Consolas"/>
          <w:i/>
          <w:iCs/>
          <w:color w:val="64748B"/>
          <w:sz w:val="16"/>
          <w:szCs w:val="16"/>
        </w:rPr>
        <w:t xml:space="preserve">src/prepare.py — RGPD</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def pseudonymiser(texte) -&gt; str:</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"""RGPD : masque les e-mails et numéros de téléphone de recruteurs présents dans le texte libre."""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if texte is None or pd.isna(texte):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return ""</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    return RE_TEL.sub("[tel]", RE_EMAIL.sub("[email]", str(texte)))</w:t>
      </w:r>
    </w:p>
    <w:p>
      <w:pPr>
        <w:spacing w:after="0" w:before="120"/>
      </w:pPr>
      <w:r>
        <w:rPr>
          <w:rFonts w:ascii="Consolas" w:cs="Consolas" w:eastAsia="Consolas" w:hAnsi="Consolas"/>
          <w:i/>
          <w:iCs/>
          <w:color w:val="64748B"/>
          <w:sz w:val="16"/>
          <w:szCs w:val="16"/>
        </w:rPr>
        <w:t xml:space="preserve">src/prepare.py — dédoublonnage inter-sources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def dedoublonner(df: pd.DataFrame) -&gt; tuple[pd.DataFrame, dict]: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"""1) même URL  2) même empreinte. Priorité à France Travail (codes ROME natifs)."""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n0 = len(df)</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df = df.sort_values("source", key=lambda s: s.ne("france_travail"))  # FT en premier</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df = df[df["url"].isna() | ~df.duplicated("url")]</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n1 = len(df)</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df = df.drop_duplicates("hash_offre", keep="first")</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    return df.reset_index(drop=True), {"doublons_url": n0 - n1, "doublons_empreinte": n1 - len(df)}</w:t>
      </w:r>
    </w:p>
    <w:p>
      <w:pPr>
        <w:pStyle w:val="Heading2"/>
        <w:spacing w:after="120" w:before="260"/>
      </w:pPr>
      <w:r>
        <w:rPr>
          <w:rFonts w:ascii="Calibri" w:cs="Calibri" w:eastAsia="Calibri" w:hAnsi="Calibri"/>
          <w:b/>
          <w:bCs/>
          <w:color w:val="6D28D9"/>
          <w:sz w:val="26"/>
          <w:szCs w:val="26"/>
        </w:rPr>
        <w:t xml:space="preserve">Résultat</w:t>
      </w:r>
    </w:p>
    <w:p>
      <w:pPr>
        <w:spacing w:after="120" w:line="290"/>
      </w:pPr>
      <w:r>
        <w:rPr>
          <w:rFonts w:ascii="Calibri" w:cs="Calibri" w:eastAsia="Calibri" w:hAnsi="Calibri"/>
          <w:color w:val="1E293B"/>
          <w:sz w:val="21"/>
          <w:szCs w:val="21"/>
        </w:rPr>
        <w:t xml:space="preserve">Sortie : </w:t>
      </w:r>
      <w:r>
        <w:rPr>
          <w:rFonts w:ascii="Consolas" w:cs="Consolas" w:eastAsia="Consolas" w:hAnsi="Consolas"/>
          <w:color w:val="9A3412"/>
          <w:sz w:val="19"/>
          <w:szCs w:val="19"/>
        </w:rPr>
        <w:t xml:space="preserve">data/processed/offres_unifiees.csv</w:t>
      </w:r>
      <w:r>
        <w:rPr>
          <w:rFonts w:ascii="Calibri" w:cs="Calibri" w:eastAsia="Calibri" w:hAnsi="Calibri"/>
          <w:color w:val="1E293B"/>
          <w:sz w:val="21"/>
          <w:szCs w:val="21"/>
        </w:rPr>
        <w:t xml:space="preserve"> — </w:t>
      </w:r>
      <w:r>
        <w:rPr>
          <w:rFonts w:ascii="Calibri" w:cs="Calibri" w:eastAsia="Calibri" w:hAnsi="Calibri"/>
          <w:b/>
          <w:bCs/>
          <w:color w:val="1E293B"/>
          <w:sz w:val="21"/>
          <w:szCs w:val="21"/>
        </w:rPr>
        <w:t xml:space="preserve">28 301 offres</w:t>
      </w:r>
      <w:r>
        <w:rPr>
          <w:rFonts w:ascii="Calibri" w:cs="Calibri" w:eastAsia="Calibri" w:hAnsi="Calibri"/>
          <w:color w:val="1E293B"/>
          <w:sz w:val="21"/>
          <w:szCs w:val="21"/>
        </w:rPr>
        <w:t xml:space="preserve"> (23 691 France Travail, 4 610 Adzuna), puis 28 219 en base après application de la fenêtre de conservation de 12 mois (§7).</w:t>
      </w:r>
    </w:p>
    <w:p>
      <w:pPr>
        <w:pStyle w:val="Heading1"/>
        <w:pageBreakBefore/>
        <w:pBdr>
          <w:bottom w:val="single" w:color="6D28D9" w:sz="12" w:space="4"/>
        </w:pBdr>
        <w:spacing w:after="200"/>
      </w:pPr>
      <w:r>
        <w:rPr>
          <w:rFonts w:ascii="Calibri" w:cs="Calibri" w:eastAsia="Calibri" w:hAnsi="Calibri"/>
          <w:b/>
          <w:bCs/>
          <w:color w:val="6D28D9"/>
          <w:sz w:val="34"/>
          <w:szCs w:val="34"/>
        </w:rPr>
        <w:t xml:space="preserve">6. C3 — Mettre en œuvre des règles d’agrégation de données</w:t>
      </w:r>
    </w:p>
    <w:p>
      <w:pPr>
        <w:spacing w:after="120" w:line="290"/>
      </w:pPr>
      <w:r>
        <w:rPr>
          <w:rFonts w:ascii="Calibri" w:cs="Calibri" w:eastAsia="Calibri" w:hAnsi="Calibri"/>
          <w:color w:val="1E293B"/>
          <w:sz w:val="21"/>
          <w:szCs w:val="21"/>
        </w:rPr>
        <w:t xml:space="preserve">Les indicateurs par métier sont calculés </w:t>
      </w:r>
      <w:r>
        <w:rPr>
          <w:rFonts w:ascii="Calibri" w:cs="Calibri" w:eastAsia="Calibri" w:hAnsi="Calibri"/>
          <w:b/>
          <w:bCs/>
          <w:color w:val="1E293B"/>
          <w:sz w:val="21"/>
          <w:szCs w:val="21"/>
        </w:rPr>
        <w:t xml:space="preserve">en SQL, directement dans la base</w:t>
      </w:r>
      <w:r>
        <w:rPr>
          <w:rFonts w:ascii="Calibri" w:cs="Calibri" w:eastAsia="Calibri" w:hAnsi="Calibri"/>
          <w:color w:val="1E293B"/>
          <w:sz w:val="21"/>
          <w:szCs w:val="21"/>
        </w:rPr>
        <w:t xml:space="preserve">, après chaque chargement ; seul le salaire médian est calculé en Python (</w:t>
      </w:r>
      <w:r>
        <w:rPr>
          <w:rFonts w:ascii="Consolas" w:cs="Consolas" w:eastAsia="Consolas" w:hAnsi="Consolas"/>
          <w:color w:val="9A3412"/>
          <w:sz w:val="19"/>
          <w:szCs w:val="19"/>
        </w:rPr>
        <w:t xml:space="preserve">store.calculer_medianes</w:t>
      </w:r>
      <w:r>
        <w:rPr>
          <w:rFonts w:ascii="Calibri" w:cs="Calibri" w:eastAsia="Calibri" w:hAnsi="Calibri"/>
          <w:color w:val="1E293B"/>
          <w:sz w:val="21"/>
          <w:szCs w:val="21"/>
        </w:rPr>
        <w:t xml:space="preserve">), SQLite n’ayant pas de fonction médiane. Le code ROME sert de clé commune aux deux sources : natif chez France Travail, obtenu par correspondance catégorie → ROME chez Adzuna.</w:t>
      </w:r>
    </w:p>
    <w:p>
      <w:pPr>
        <w:pStyle w:val="Heading2"/>
        <w:spacing w:after="120" w:before="260"/>
      </w:pPr>
      <w:r>
        <w:rPr>
          <w:rFonts w:ascii="Calibri" w:cs="Calibri" w:eastAsia="Calibri" w:hAnsi="Calibri"/>
          <w:b/>
          <w:bCs/>
          <w:color w:val="6D28D9"/>
          <w:sz w:val="26"/>
          <w:szCs w:val="26"/>
        </w:rPr>
        <w:t xml:space="preserve">Règles d’agrégation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638"/>
      </w:tblGrid>
      <w:tr>
        <w:trPr>
          <w:tblHeader/>
        </w:trPr>
        <w:tc>
          <w:tcPr>
            <w:tcW w:type="dxa" w:w="2300"/>
            <w:shd w:fill="6D28D9"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Indicateur</w:t>
            </w:r>
          </w:p>
        </w:tc>
        <w:tc>
          <w:tcPr>
            <w:tcW w:type="dxa" w:w="3700"/>
            <w:shd w:fill="6D28D9"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Règle</w:t>
            </w:r>
          </w:p>
        </w:tc>
        <w:tc>
          <w:tcPr>
            <w:tcW w:type="dxa" w:w="3638"/>
            <w:shd w:fill="6D28D9"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Justification</w:t>
            </w:r>
          </w:p>
        </w:tc>
      </w:tr>
      <w:tr>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nb_offres_ft / adzuna / total</w:t>
            </w:r>
          </w:p>
        </w:tc>
        <w:tc>
          <w:tcPr>
            <w:tcW w:type="dxa" w:w="37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COUNT par source et par code ROME</w:t>
            </w:r>
          </w:p>
        </w:tc>
        <w:tc>
          <w:tcPr>
            <w:tcW w:type="dxa" w:w="36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Volume de la demande des employeurs</w:t>
            </w:r>
          </w:p>
        </w:tc>
      </w:tr>
      <w:tr>
        <w:tc>
          <w:tcPr>
            <w:tcW w:type="dxa" w:w="2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nb_entreprises</w:t>
            </w:r>
          </w:p>
        </w:tc>
        <w:tc>
          <w:tcPr>
            <w:tcW w:type="dxa" w:w="37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COUNT DISTINCT, « Non renseigné » exclu</w:t>
            </w:r>
          </w:p>
        </w:tc>
        <w:tc>
          <w:tcPr>
            <w:tcW w:type="dxa" w:w="36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Une offre massive d’un seul employeur ≠ tension de marché</w:t>
            </w:r>
          </w:p>
        </w:tc>
      </w:tr>
      <w:tr>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nb_departements</w:t>
            </w:r>
          </w:p>
        </w:tc>
        <w:tc>
          <w:tcPr>
            <w:tcW w:type="dxa" w:w="37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COUNT DISTINCT code_dept</w:t>
            </w:r>
          </w:p>
        </w:tc>
        <w:tc>
          <w:tcPr>
            <w:tcW w:type="dxa" w:w="36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Diffusion géographique du besoin</w:t>
            </w:r>
          </w:p>
        </w:tc>
      </w:tr>
      <w:tr>
        <w:tc>
          <w:tcPr>
            <w:tcW w:type="dxa" w:w="2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part_cdi</w:t>
            </w:r>
          </w:p>
        </w:tc>
        <w:tc>
          <w:tcPr>
            <w:tcW w:type="dxa" w:w="37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Moyenne de (contrat = CDI) × 100</w:t>
            </w:r>
          </w:p>
        </w:tc>
        <w:tc>
          <w:tcPr>
            <w:tcW w:type="dxa" w:w="36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Qualité des emplois proposés</w:t>
            </w:r>
          </w:p>
        </w:tc>
      </w:tr>
      <w:tr>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salaire_median</w:t>
            </w:r>
          </w:p>
        </w:tc>
        <w:tc>
          <w:tcPr>
            <w:tcW w:type="dxa" w:w="37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Médiane des salaires affichés (valeurs complétées exclues), calculée en Python car SQLite n’a pas de fonction MEDIAN</w:t>
            </w:r>
          </w:p>
        </w:tc>
        <w:tc>
          <w:tcPr>
            <w:tcW w:type="dxa" w:w="36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Attractivité du métier, sans être faussée par les salaires extrêmes</w:t>
            </w:r>
          </w:p>
        </w:tc>
      </w:tr>
      <w:tr>
        <w:tc>
          <w:tcPr>
            <w:tcW w:type="dxa" w:w="2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part_salaire_affiche</w:t>
            </w:r>
          </w:p>
        </w:tc>
        <w:tc>
          <w:tcPr>
            <w:tcW w:type="dxa" w:w="37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Part des offres qui affichent un salaire</w:t>
            </w:r>
          </w:p>
        </w:tc>
        <w:tc>
          <w:tcPr>
            <w:tcW w:type="dxa" w:w="36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Fiabilité du salaire médian ; transparence des employeurs</w:t>
            </w:r>
          </w:p>
        </w:tc>
      </w:tr>
      <w:tr>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indice_tension</w:t>
            </w:r>
          </w:p>
        </w:tc>
        <w:tc>
          <w:tcPr>
            <w:tcW w:type="dxa" w:w="37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nb_offres_total ÷ moyenne des métiers × 100</w:t>
            </w:r>
          </w:p>
        </w:tc>
        <w:tc>
          <w:tcPr>
            <w:tcW w:type="dxa" w:w="36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100 = métier moyen ; comparable d’une collecte à l’autre</w:t>
            </w:r>
          </w:p>
        </w:tc>
      </w:tr>
      <w:tr>
        <w:tc>
          <w:tcPr>
            <w:tcW w:type="dxa" w:w="2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statut</w:t>
            </w:r>
          </w:p>
        </w:tc>
        <w:tc>
          <w:tcPr>
            <w:tcW w:type="dxa" w:w="37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Seuils 50 / 100 / 150</w:t>
            </w:r>
          </w:p>
        </w:tc>
        <w:tc>
          <w:tcPr>
            <w:tcW w:type="dxa" w:w="36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Lecture immédiate pour un public non technique</w:t>
            </w:r>
          </w:p>
        </w:tc>
      </w:tr>
    </w:tbl>
    <w:p>
      <w:pPr>
        <w:spacing w:after="80"/>
      </w:pPr>
    </w:p>
    <w:p>
      <w:pPr>
        <w:spacing w:after="0" w:before="120"/>
      </w:pPr>
      <w:r>
        <w:rPr>
          <w:rFonts w:ascii="Consolas" w:cs="Consolas" w:eastAsia="Consolas" w:hAnsi="Consolas"/>
          <w:i/>
          <w:iCs/>
          <w:color w:val="64748B"/>
          <w:sz w:val="16"/>
          <w:szCs w:val="16"/>
        </w:rPr>
        <w:t xml:space="preserve">src/store.py — agrégation SQL (fonction fenêtre AVG() OVER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SQL_INDICATEURS =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INSERT INTO indicateurs_tension</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WITH agg AS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SELECT code_rome,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SUM(source = 'france_travail')                   AS nb_offres_ft,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SUM(source = 'adzuna')                           AS nb_offres_adzuna,</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COUNT(*)                                         AS nb_offres_total,</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COUNT(DISTINCT NULLIF(entreprise, 'Non renseigné')) AS nb_entreprises,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COUNT(DISTINCT code_dept)                        AS nb_departements,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ROUND(AVG(contrat = 'CDI') * 100, 1)             AS part_cdi,</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NULL                                             AS salaire_median,   -- calculée ensuite (médiane)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ROUND(AVG(salaire_impute = 0) * 100, 1)          AS part_salaire_affiche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FROM offres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WHERE code_rome IS NOT NULL</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GROUP BY code_rome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SELECT code_rome, nb_offres_ft, nb_offres_adzuna, nb_offres_total, nb_entreprises,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nb_departements, part_cdi, salaire_median, part_salaire_affiche,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ROUND(nb_offres_total * 100.0 / AVG(nb_offres_total) OVER (), 1) AS indice_tension,</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CASE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WHEN nb_offres_total * 100.0 / AVG(nb_offres_total) OVER () &gt; 150 THEN 'TRES EN TENSION'</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WHEN nb_offres_total * 100.0 / AVG(nb_offres_total) OVER () &gt; 100 THEN 'EN TENSION'</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WHEN nb_offres_total * 100.0 / AVG(nb_offres_total) OVER () &gt; 50  THEN 'EQUILIBRE'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ELSE 'SATURE'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END AS statut,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:date_calcul</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FROM agg;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6D28D9" w:sz="24"/>
              <w:bottom w:val="none" w:color="FFFFFF" w:sz="0"/>
              <w:right w:val="none" w:color="FFFFFF" w:sz="0"/>
            </w:tcBorders>
            <w:shd w:fill="F1F5F9" w:color="auto" w:val="clear"/>
            <w:tcMar>
              <w:top w:type="dxa" w:w="120"/>
              <w:left w:type="dxa" w:w="200"/>
              <w:bottom w:type="dxa" w:w="120"/>
              <w:right w:type="dxa" w:w="160"/>
            </w:tcMar>
          </w:tcPr>
          <w:p>
            <w:pPr>
              <w:spacing w:after="60"/>
            </w:pPr>
            <w:r>
              <w:rPr>
                <w:rFonts w:ascii="Calibri" w:cs="Calibri" w:eastAsia="Calibri" w:hAnsi="Calibri"/>
                <w:b/>
                <w:bCs/>
                <w:color w:val="6D28D9"/>
                <w:sz w:val="21"/>
                <w:szCs w:val="21"/>
              </w:rPr>
              <w:t xml:space="preserve">Ce que mesure — et ne mesure pas — l’indice de tension</w:t>
            </w:r>
          </w:p>
          <w:p>
            <w:pPr>
              <w:spacing w:after="40" w:line="270"/>
            </w:pPr>
            <w:r>
              <w:rPr>
                <w:rFonts w:ascii="Calibri" w:cs="Calibri" w:eastAsia="Calibri" w:hAnsi="Calibri"/>
                <w:color w:val="1E293B"/>
                <w:sz w:val="21"/>
                <w:szCs w:val="21"/>
              </w:rPr>
              <w:t xml:space="preserve">L’indice mesure la </w:t>
            </w:r>
            <w:r>
              <w:rPr>
                <w:rFonts w:ascii="Calibri" w:cs="Calibri" w:eastAsia="Calibri" w:hAnsi="Calibri"/>
                <w:b/>
                <w:bCs/>
                <w:color w:val="1E293B"/>
                <w:sz w:val="21"/>
                <w:szCs w:val="21"/>
              </w:rPr>
              <w:t xml:space="preserve">pression de la demande des employeurs</w:t>
            </w:r>
            <w:r>
              <w:rPr>
                <w:rFonts w:ascii="Calibri" w:cs="Calibri" w:eastAsia="Calibri" w:hAnsi="Calibri"/>
                <w:color w:val="1E293B"/>
                <w:sz w:val="21"/>
                <w:szCs w:val="21"/>
              </w:rPr>
              <w:t xml:space="preserve"> : un métier à 1 850 publie 18,5 fois plus d’offres qu’un métier moyen. Il ne s’agit pas du ratio officiel offres / demandeurs d’emploi de la DARES : PPMT ne dispose pas du nombre de candidats par métier. C’est la principale piste d’enrichissement (§11).</w:t>
            </w:r>
          </w:p>
        </w:tc>
      </w:tr>
    </w:tbl>
    <w:p>
      <w:pPr>
        <w:pStyle w:val="Heading2"/>
        <w:spacing w:after="120" w:before="260"/>
      </w:pPr>
      <w:r>
        <w:rPr>
          <w:rFonts w:ascii="Calibri" w:cs="Calibri" w:eastAsia="Calibri" w:hAnsi="Calibri"/>
          <w:b/>
          <w:bCs/>
          <w:color w:val="6D28D9"/>
          <w:sz w:val="26"/>
          <w:szCs w:val="26"/>
        </w:rPr>
        <w:t xml:space="preserve">Résultats</w:t>
      </w:r>
    </w:p>
    <w:p>
      <w:pPr>
        <w:spacing w:after="40" w:before="120"/>
        <w:jc w:val="center"/>
      </w:pPr>
      <w:r>
        <w:drawing>
          <wp:inline distT="0" distB="0" distL="0" distR="0">
            <wp:extent cx="4191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223837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2 — Répartition des 1 100 métiers ROME par statut</w:t>
      </w:r>
    </w:p>
    <w:p>
      <w:pPr>
        <w:spacing w:after="40" w:before="120"/>
        <w:jc w:val="center"/>
      </w:pPr>
      <w:r>
        <w:drawing>
          <wp:inline distT="0" distB="0" distL="0" distR="0">
            <wp:extent cx="5715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3 — Les 10 métiers à plus forte tension en Île-de-France (collecte mai 2026)</w:t>
      </w:r>
    </w:p>
    <w:p>
      <w:pPr>
        <w:spacing w:after="40" w:before="120"/>
        <w:jc w:val="center"/>
      </w:pPr>
      <w:r>
        <w:drawing>
          <wp:inline distT="0" distB="0" distL="0" distR="0">
            <wp:extent cx="49530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83857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4 — Offres par département ; contours issus du fichier GeoJSON collecté en C1</w:t>
      </w:r>
    </w:p>
    <w:p>
      <w:pPr>
        <w:pStyle w:val="Heading1"/>
        <w:pageBreakBefore/>
        <w:pBdr>
          <w:bottom w:val="single" w:color="2563EB" w:sz="12" w:space="4"/>
        </w:pBdr>
        <w:spacing w:after="200"/>
      </w:pPr>
      <w:r>
        <w:rPr>
          <w:rFonts w:ascii="Calibri" w:cs="Calibri" w:eastAsia="Calibri" w:hAnsi="Calibri"/>
          <w:b/>
          <w:bCs/>
          <w:color w:val="2563EB"/>
          <w:sz w:val="34"/>
          <w:szCs w:val="34"/>
        </w:rPr>
        <w:t xml:space="preserve">7. C4 — Créer une base de données</w:t>
      </w:r>
    </w:p>
    <w:p>
      <w:pPr>
        <w:pStyle w:val="Heading2"/>
        <w:spacing w:after="120" w:before="260"/>
      </w:pPr>
      <w:r>
        <w:rPr>
          <w:rFonts w:ascii="Calibri" w:cs="Calibri" w:eastAsia="Calibri" w:hAnsi="Calibri"/>
          <w:b/>
          <w:bCs/>
          <w:color w:val="2563EB"/>
          <w:sz w:val="26"/>
          <w:szCs w:val="26"/>
        </w:rPr>
        <w:t xml:space="preserve">Choix technologique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200"/>
        <w:gridCol w:w="2538"/>
      </w:tblGrid>
      <w:tr>
        <w:trPr>
          <w:tblHeader/>
        </w:trPr>
        <w:tc>
          <w:tcPr>
            <w:tcW w:type="dxa" w:w="2400"/>
            <w:shd w:fill="2563EB"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Critère</w:t>
            </w:r>
          </w:p>
        </w:tc>
        <w:tc>
          <w:tcPr>
            <w:tcW w:type="dxa" w:w="2500"/>
            <w:shd w:fill="2563EB"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SQLite (retenu)</w:t>
            </w:r>
          </w:p>
        </w:tc>
        <w:tc>
          <w:tcPr>
            <w:tcW w:type="dxa" w:w="2200"/>
            <w:shd w:fill="2563EB"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PostgreSQL</w:t>
            </w:r>
          </w:p>
        </w:tc>
        <w:tc>
          <w:tcPr>
            <w:tcW w:type="dxa" w:w="2538"/>
            <w:shd w:fill="2563EB"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MongoDB (NoSQL)</w:t>
            </w:r>
          </w:p>
        </w:tc>
      </w:tr>
      <w:tr>
        <w:tc>
          <w:tcPr>
            <w:tcW w:type="dxa" w:w="24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Nature des données</w:t>
            </w:r>
          </w:p>
        </w:tc>
        <w:tc>
          <w:tcPr>
            <w:tcW w:type="dxa" w:w="25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Tabulaires, schéma stable</w:t>
            </w:r>
          </w:p>
        </w:tc>
        <w:tc>
          <w:tcPr>
            <w:tcW w:type="dxa" w:w="22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Idem</w:t>
            </w:r>
          </w:p>
        </w:tc>
        <w:tc>
          <w:tcPr>
            <w:tcW w:type="dxa" w:w="25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Adapté au JSON hétérogène</w:t>
            </w:r>
          </w:p>
        </w:tc>
      </w:tr>
      <w:tr>
        <w:tc>
          <w:tcPr>
            <w:tcW w:type="dxa" w:w="24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Volume (≈ 30 000 offres/jour)</w:t>
            </w:r>
          </w:p>
        </w:tc>
        <w:tc>
          <w:tcPr>
            <w:tcW w:type="dxa" w:w="25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Largement suffisant</w:t>
            </w:r>
          </w:p>
        </w:tc>
        <w:tc>
          <w:tcPr>
            <w:tcW w:type="dxa" w:w="22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Surdimensionné</w:t>
            </w:r>
          </w:p>
        </w:tc>
        <w:tc>
          <w:tcPr>
            <w:tcW w:type="dxa" w:w="25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Surdimensionné</w:t>
            </w:r>
          </w:p>
        </w:tc>
      </w:tr>
      <w:tr>
        <w:tc>
          <w:tcPr>
            <w:tcW w:type="dxa" w:w="24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Intégrité (clés, contraintes)</w:t>
            </w:r>
          </w:p>
        </w:tc>
        <w:tc>
          <w:tcPr>
            <w:tcW w:type="dxa" w:w="25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FK, CHECK, UNIQUE</w:t>
            </w:r>
          </w:p>
        </w:tc>
        <w:tc>
          <w:tcPr>
            <w:tcW w:type="dxa" w:w="22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Complet</w:t>
            </w:r>
          </w:p>
        </w:tc>
        <w:tc>
          <w:tcPr>
            <w:tcW w:type="dxa" w:w="25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Limitée</w:t>
            </w:r>
          </w:p>
        </w:tc>
      </w:tr>
      <w:tr>
        <w:tc>
          <w:tcPr>
            <w:tcW w:type="dxa" w:w="24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Agrégations</w:t>
            </w:r>
          </w:p>
        </w:tc>
        <w:tc>
          <w:tcPr>
            <w:tcW w:type="dxa" w:w="25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SQL + fonctions fenêtre</w:t>
            </w:r>
          </w:p>
        </w:tc>
        <w:tc>
          <w:tcPr>
            <w:tcW w:type="dxa" w:w="22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Idem</w:t>
            </w:r>
          </w:p>
        </w:tc>
        <w:tc>
          <w:tcPr>
            <w:tcW w:type="dxa" w:w="25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Pipeline d’agrégation</w:t>
            </w:r>
          </w:p>
        </w:tc>
      </w:tr>
      <w:tr>
        <w:tc>
          <w:tcPr>
            <w:tcW w:type="dxa" w:w="24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Déploiement</w:t>
            </w:r>
          </w:p>
        </w:tc>
        <w:tc>
          <w:tcPr>
            <w:tcW w:type="dxa" w:w="25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Un fichier, zéro serveur, embarqué dans l’image Docker</w:t>
            </w:r>
          </w:p>
        </w:tc>
        <w:tc>
          <w:tcPr>
            <w:tcW w:type="dxa" w:w="22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Serveur à administrer</w:t>
            </w:r>
          </w:p>
        </w:tc>
        <w:tc>
          <w:tcPr>
            <w:tcW w:type="dxa" w:w="25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Serveur à administrer</w:t>
            </w:r>
          </w:p>
        </w:tc>
      </w:tr>
    </w:tbl>
    <w:p>
      <w:pPr>
        <w:spacing w:after="80"/>
      </w:pPr>
    </w:p>
    <w:p>
      <w:pPr>
        <w:spacing w:after="120" w:line="290"/>
      </w:pPr>
      <w:r>
        <w:rPr>
          <w:rFonts w:ascii="Calibri" w:cs="Calibri" w:eastAsia="Calibri" w:hAnsi="Calibri"/>
          <w:color w:val="1E293B"/>
          <w:sz w:val="21"/>
          <w:szCs w:val="21"/>
        </w:rPr>
        <w:t xml:space="preserve">Les offres, une fois aplaties, ont une structure fixe et sont interrogées par filtres et agrégations : un modèle </w:t>
      </w:r>
      <w:r>
        <w:rPr>
          <w:rFonts w:ascii="Calibri" w:cs="Calibri" w:eastAsia="Calibri" w:hAnsi="Calibri"/>
          <w:b/>
          <w:bCs/>
          <w:color w:val="1E293B"/>
          <w:sz w:val="21"/>
          <w:szCs w:val="21"/>
        </w:rPr>
        <w:t xml:space="preserve">relationnel</w:t>
      </w:r>
      <w:r>
        <w:rPr>
          <w:rFonts w:ascii="Calibri" w:cs="Calibri" w:eastAsia="Calibri" w:hAnsi="Calibri"/>
          <w:color w:val="1E293B"/>
          <w:sz w:val="21"/>
          <w:szCs w:val="21"/>
        </w:rPr>
        <w:t xml:space="preserve"> est le plus adapté. SQLite offre ces garanties sans serveur ; la migration vers PostgreSQL est prévue si l’écriture devient concurrente (plusieurs régions collectées en parallèle).</w:t>
      </w:r>
    </w:p>
    <w:p>
      <w:pPr>
        <w:pStyle w:val="Heading2"/>
        <w:spacing w:after="120" w:before="260"/>
      </w:pPr>
      <w:r>
        <w:rPr>
          <w:rFonts w:ascii="Calibri" w:cs="Calibri" w:eastAsia="Calibri" w:hAnsi="Calibri"/>
          <w:b/>
          <w:bCs/>
          <w:color w:val="2563EB"/>
          <w:sz w:val="26"/>
          <w:szCs w:val="26"/>
        </w:rPr>
        <w:t xml:space="preserve">Modèle physique de données</w:t>
      </w:r>
    </w:p>
    <w:p>
      <w:pPr>
        <w:spacing w:after="40" w:before="120"/>
        <w:jc w:val="center"/>
      </w:pPr>
      <w:r>
        <w:drawing>
          <wp:inline distT="0" distB="0" distL="0" distR="0">
            <wp:extent cx="60960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25336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5 — Modèle physique : 2 référentiels, 1 table de faits, 1 table d’agrégats</w:t>
      </w:r>
    </w:p>
    <w:p>
      <w:pPr>
        <w:spacing w:after="120" w:line="290"/>
      </w:pPr>
      <w:r>
        <w:rPr>
          <w:rFonts w:ascii="Calibri" w:cs="Calibri" w:eastAsia="Calibri" w:hAnsi="Calibri"/>
          <w:color w:val="1E293B"/>
          <w:sz w:val="21"/>
          <w:szCs w:val="21"/>
        </w:rPr>
        <w:t xml:space="preserve">Le modèle respecte la 3e forme normale : les libellés de départements et de métiers ne sont stockés qu’une fois, dans leurs référentiels. </w:t>
      </w:r>
      <w:r>
        <w:rPr>
          <w:rFonts w:ascii="Consolas" w:cs="Consolas" w:eastAsia="Consolas" w:hAnsi="Consolas"/>
          <w:color w:val="9A3412"/>
          <w:sz w:val="19"/>
          <w:szCs w:val="19"/>
        </w:rPr>
        <w:t xml:space="preserve">indicateurs_tension</w:t>
      </w:r>
      <w:r>
        <w:rPr>
          <w:rFonts w:ascii="Calibri" w:cs="Calibri" w:eastAsia="Calibri" w:hAnsi="Calibri"/>
          <w:color w:val="1E293B"/>
          <w:sz w:val="21"/>
          <w:szCs w:val="21"/>
        </w:rPr>
        <w:t xml:space="preserve"> est une table dérivée, recalculée à chaque exécution à partir de </w:t>
      </w:r>
      <w:r>
        <w:rPr>
          <w:rFonts w:ascii="Consolas" w:cs="Consolas" w:eastAsia="Consolas" w:hAnsi="Consolas"/>
          <w:color w:val="9A3412"/>
          <w:sz w:val="19"/>
          <w:szCs w:val="19"/>
        </w:rPr>
        <w:t xml:space="preserve">offres</w:t>
      </w:r>
      <w:r>
        <w:rPr>
          <w:rFonts w:ascii="Calibri" w:cs="Calibri" w:eastAsia="Calibri" w:hAnsi="Calibri"/>
          <w:color w:val="1E293B"/>
          <w:sz w:val="21"/>
          <w:szCs w:val="21"/>
        </w:rPr>
        <w:t xml:space="preserve">. La table </w:t>
      </w:r>
      <w:r>
        <w:rPr>
          <w:rFonts w:ascii="Consolas" w:cs="Consolas" w:eastAsia="Consolas" w:hAnsi="Consolas"/>
          <w:color w:val="9A3412"/>
          <w:sz w:val="19"/>
          <w:szCs w:val="19"/>
        </w:rPr>
        <w:t xml:space="preserve">departements</w:t>
      </w:r>
      <w:r>
        <w:rPr>
          <w:rFonts w:ascii="Calibri" w:cs="Calibri" w:eastAsia="Calibri" w:hAnsi="Calibri"/>
          <w:color w:val="1E293B"/>
          <w:sz w:val="21"/>
          <w:szCs w:val="21"/>
        </w:rPr>
        <w:t xml:space="preserve"> reçoit aussi, depuis le fichier GeoJSON, le centre géographique (latitude, longitude) et la superficie de chaque département, calculés dans </w:t>
      </w:r>
      <w:r>
        <w:rPr>
          <w:rFonts w:ascii="Consolas" w:cs="Consolas" w:eastAsia="Consolas" w:hAnsi="Consolas"/>
          <w:color w:val="9A3412"/>
          <w:sz w:val="19"/>
          <w:szCs w:val="19"/>
        </w:rPr>
        <w:t xml:space="preserve">store.py</w:t>
      </w:r>
      <w:r>
        <w:rPr>
          <w:rFonts w:ascii="Calibri" w:cs="Calibri" w:eastAsia="Calibri" w:hAnsi="Calibri"/>
          <w:color w:val="1E293B"/>
          <w:sz w:val="21"/>
          <w:szCs w:val="21"/>
        </w:rPr>
        <w:t xml:space="preserve"> : l’API s’en sert pour la densité d’offres, le dashboard pour la carte.</w:t>
      </w:r>
    </w:p>
    <w:p>
      <w:pPr>
        <w:spacing w:after="0" w:before="120"/>
      </w:pPr>
      <w:r>
        <w:rPr>
          <w:rFonts w:ascii="Consolas" w:cs="Consolas" w:eastAsia="Consolas" w:hAnsi="Consolas"/>
          <w:i/>
          <w:iCs/>
          <w:color w:val="64748B"/>
          <w:sz w:val="16"/>
          <w:szCs w:val="16"/>
        </w:rPr>
        <w:t xml:space="preserve">src/store.py — table des offres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CREATE TABLE IF NOT EXISTS offres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id               INTEGER PRIMARY KEY AUTOINCREMENT,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source           TEXT NOT NULL CHECK (source IN ('france_travail', 'adzuna')),</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id_source        TEXT,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hash_offre       TEXT NOT NULL UNIQUE,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titre            TEXT NOT NULL,</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entreprise       TEXT,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lieu             TEXT,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code_dept        TEXT REFERENCES departements(code_dept),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code_rome        TEXT REFERENCES metiers_rome(code_rome),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categorie        TEXT,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contrat          TEXT CHECK (contrat IN ('CDI','CDD','Intérim','Libéral','Alternance','Autre','Non renseigné')),</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temps_travail    TEXT,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experience       TEXT,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salaire_min      REAL CHECK (salaire_min IS NULL OR salaire_min BETWEEN 10000 AND 300000),</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salaire_max      REAL CHECK (salaire_max IS NULL OR salaire_max BETWEEN 10000 AND 300000),</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salaire_moyen    REAL,</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salaire_impute   INTEGER NOT NULL DEFAULT 0 CHECK (salaire_impute IN (0, 1)),</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salaire_source   TEXT,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rome_source      TEXT CHECK (rome_source IS NULL OR rome_source IN ('france_travail', 'intitule', 'categorie')),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date_publication TEXT,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description      TEXT,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url              TEXT,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date_import      TEXT NOT NULL</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shd w:fill="2563EB"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Contrainte / index</w:t>
            </w:r>
          </w:p>
        </w:tc>
        <w:tc>
          <w:tcPr>
            <w:tcW w:type="dxa" w:w="6338"/>
            <w:shd w:fill="2563EB"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Rôle</w:t>
            </w:r>
          </w:p>
        </w:tc>
      </w:tr>
      <w:tr>
        <w:tc>
          <w:tcPr>
            <w:tcW w:type="dxa" w:w="3300"/>
            <w:tcMar>
              <w:top w:type="dxa" w:w="70"/>
              <w:left w:type="dxa" w:w="100"/>
              <w:bottom w:type="dxa" w:w="70"/>
              <w:right w:type="dxa" w:w="100"/>
            </w:tcMar>
          </w:tcPr>
          <w:p>
            <w:pPr>
              <w:spacing w:after="0" w:line="260"/>
            </w:pPr>
            <w:r>
              <w:rPr>
                <w:rFonts w:ascii="Consolas" w:cs="Consolas" w:eastAsia="Consolas" w:hAnsi="Consolas"/>
                <w:color w:val="9A3412"/>
                <w:sz w:val="19"/>
                <w:szCs w:val="19"/>
              </w:rPr>
              <w:t xml:space="preserve">hash_offre UNIQUE</w:t>
            </w:r>
          </w:p>
        </w:tc>
        <w:tc>
          <w:tcPr>
            <w:tcW w:type="dxa" w:w="63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Garantit l’absence de doublon, même si le pipeline est relancé (</w:t>
            </w:r>
            <w:r>
              <w:rPr>
                <w:rFonts w:ascii="Consolas" w:cs="Consolas" w:eastAsia="Consolas" w:hAnsi="Consolas"/>
                <w:color w:val="9A3412"/>
                <w:sz w:val="19"/>
                <w:szCs w:val="19"/>
              </w:rPr>
              <w:t xml:space="preserve">INSERT OR IGNORE</w:t>
            </w:r>
            <w:r>
              <w:rPr>
                <w:rFonts w:ascii="Calibri" w:cs="Calibri" w:eastAsia="Calibri" w:hAnsi="Calibri"/>
                <w:color w:val="1E293B"/>
                <w:sz w:val="21"/>
                <w:szCs w:val="21"/>
              </w:rPr>
              <w:t xml:space="preserve">)</w:t>
            </w:r>
          </w:p>
        </w:tc>
      </w:tr>
      <w:tr>
        <w:tc>
          <w:tcPr>
            <w:tcW w:type="dxa" w:w="3300"/>
            <w:shd w:fill="F8FAFC" w:color="auto" w:val="clear"/>
            <w:tcMar>
              <w:top w:type="dxa" w:w="70"/>
              <w:left w:type="dxa" w:w="100"/>
              <w:bottom w:type="dxa" w:w="70"/>
              <w:right w:type="dxa" w:w="100"/>
            </w:tcMar>
          </w:tcPr>
          <w:p>
            <w:pPr>
              <w:spacing w:after="0" w:line="260"/>
            </w:pPr>
            <w:r>
              <w:rPr>
                <w:rFonts w:ascii="Consolas" w:cs="Consolas" w:eastAsia="Consolas" w:hAnsi="Consolas"/>
                <w:color w:val="9A3412"/>
                <w:sz w:val="19"/>
                <w:szCs w:val="19"/>
              </w:rPr>
              <w:t xml:space="preserve">FOREIGN KEY</w:t>
            </w:r>
            <w:r>
              <w:rPr>
                <w:rFonts w:ascii="Calibri" w:cs="Calibri" w:eastAsia="Calibri" w:hAnsi="Calibri"/>
                <w:color w:val="1E293B"/>
                <w:sz w:val="21"/>
                <w:szCs w:val="21"/>
              </w:rPr>
              <w:t xml:space="preserve"> code_dept, code_rome</w:t>
            </w:r>
          </w:p>
        </w:tc>
        <w:tc>
          <w:tcPr>
            <w:tcW w:type="dxa" w:w="63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Intégrité référentielle, activée par </w:t>
            </w:r>
            <w:r>
              <w:rPr>
                <w:rFonts w:ascii="Consolas" w:cs="Consolas" w:eastAsia="Consolas" w:hAnsi="Consolas"/>
                <w:color w:val="9A3412"/>
                <w:sz w:val="19"/>
                <w:szCs w:val="19"/>
              </w:rPr>
              <w:t xml:space="preserve">PRAGMA foreign_keys = ON</w:t>
            </w:r>
          </w:p>
        </w:tc>
      </w:tr>
      <w:tr>
        <w:tc>
          <w:tcPr>
            <w:tcW w:type="dxa" w:w="3300"/>
            <w:tcMar>
              <w:top w:type="dxa" w:w="70"/>
              <w:left w:type="dxa" w:w="100"/>
              <w:bottom w:type="dxa" w:w="70"/>
              <w:right w:type="dxa" w:w="100"/>
            </w:tcMar>
          </w:tcPr>
          <w:p>
            <w:pPr>
              <w:spacing w:after="0" w:line="260"/>
            </w:pPr>
            <w:r>
              <w:rPr>
                <w:rFonts w:ascii="Consolas" w:cs="Consolas" w:eastAsia="Consolas" w:hAnsi="Consolas"/>
                <w:color w:val="9A3412"/>
                <w:sz w:val="19"/>
                <w:szCs w:val="19"/>
              </w:rPr>
              <w:t xml:space="preserve">CHECK</w:t>
            </w:r>
            <w:r>
              <w:rPr>
                <w:rFonts w:ascii="Calibri" w:cs="Calibri" w:eastAsia="Calibri" w:hAnsi="Calibri"/>
                <w:color w:val="1E293B"/>
                <w:sz w:val="21"/>
                <w:szCs w:val="21"/>
              </w:rPr>
              <w:t xml:space="preserve"> source, contrat, salaires, format ROME</w:t>
            </w:r>
          </w:p>
        </w:tc>
        <w:tc>
          <w:tcPr>
            <w:tcW w:type="dxa" w:w="63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Rejette toute valeur hors du domaine autorisé dès l’insertion</w:t>
            </w:r>
          </w:p>
        </w:tc>
      </w:tr>
      <w:tr>
        <w:tc>
          <w:tcPr>
            <w:tcW w:type="dxa" w:w="3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6 index</w:t>
            </w:r>
          </w:p>
        </w:tc>
        <w:tc>
          <w:tcPr>
            <w:tcW w:type="dxa" w:w="63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code_dept, code_rome, source, contrat, date_publication, statut : les filtres de l’API</w:t>
            </w:r>
          </w:p>
        </w:tc>
      </w:tr>
    </w:tbl>
    <w:p>
      <w:pPr>
        <w:pStyle w:val="Heading2"/>
        <w:spacing w:after="120" w:before="260"/>
      </w:pPr>
      <w:r>
        <w:rPr>
          <w:rFonts w:ascii="Calibri" w:cs="Calibri" w:eastAsia="Calibri" w:hAnsi="Calibri"/>
          <w:b/>
          <w:bCs/>
          <w:color w:val="2563EB"/>
          <w:sz w:val="26"/>
          <w:szCs w:val="26"/>
        </w:rPr>
        <w:t xml:space="preserve">Volumétrie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tblGrid>
      <w:tr>
        <w:trPr>
          <w:tblHeader/>
        </w:trPr>
        <w:tc>
          <w:tcPr>
            <w:tcW w:type="dxa" w:w="4000"/>
            <w:shd w:fill="2563EB"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Table</w:t>
            </w:r>
          </w:p>
        </w:tc>
        <w:tc>
          <w:tcPr>
            <w:tcW w:type="dxa" w:w="2000"/>
            <w:shd w:fill="2563EB"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Lignes</w:t>
            </w:r>
          </w:p>
        </w:tc>
      </w:tr>
      <w:tr>
        <w:tc>
          <w:tcPr>
            <w:tcW w:type="dxa" w:w="4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departements</w:t>
            </w:r>
          </w:p>
        </w:tc>
        <w:tc>
          <w:tcPr>
            <w:tcW w:type="dxa" w:w="2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8</w:t>
            </w:r>
          </w:p>
        </w:tc>
      </w:tr>
      <w:tr>
        <w:tc>
          <w:tcPr>
            <w:tcW w:type="dxa" w:w="4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metiers_rome</w:t>
            </w:r>
          </w:p>
        </w:tc>
        <w:tc>
          <w:tcPr>
            <w:tcW w:type="dxa" w:w="2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1 100</w:t>
            </w:r>
          </w:p>
        </w:tc>
      </w:tr>
      <w:tr>
        <w:tc>
          <w:tcPr>
            <w:tcW w:type="dxa" w:w="4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offres</w:t>
            </w:r>
          </w:p>
        </w:tc>
        <w:tc>
          <w:tcPr>
            <w:tcW w:type="dxa" w:w="2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28 219</w:t>
            </w:r>
          </w:p>
        </w:tc>
      </w:tr>
      <w:tr>
        <w:tc>
          <w:tcPr>
            <w:tcW w:type="dxa" w:w="4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indicateurs_tension</w:t>
            </w:r>
          </w:p>
        </w:tc>
        <w:tc>
          <w:tcPr>
            <w:tcW w:type="dxa" w:w="2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1 100</w:t>
            </w:r>
          </w:p>
        </w:tc>
      </w:tr>
    </w:tbl>
    <w:p>
      <w:pPr>
        <w:pStyle w:val="Heading2"/>
        <w:spacing w:after="120" w:before="260"/>
      </w:pPr>
      <w:r>
        <w:rPr>
          <w:rFonts w:ascii="Calibri" w:cs="Calibri" w:eastAsia="Calibri" w:hAnsi="Calibri"/>
          <w:b/>
          <w:bCs/>
          <w:color w:val="2563EB"/>
          <w:sz w:val="26"/>
          <w:szCs w:val="26"/>
        </w:rPr>
        <w:t xml:space="preserve">Conformité RGPD</w:t>
      </w:r>
    </w:p>
    <w:p>
      <w:pPr>
        <w:spacing w:after="120" w:line="290"/>
      </w:pPr>
      <w:r>
        <w:rPr>
          <w:rFonts w:ascii="Calibri" w:cs="Calibri" w:eastAsia="Calibri" w:hAnsi="Calibri"/>
          <w:color w:val="1E293B"/>
          <w:sz w:val="21"/>
          <w:szCs w:val="21"/>
        </w:rPr>
        <w:t xml:space="preserve">Le registre complet est versionné dans </w:t>
      </w:r>
      <w:r>
        <w:rPr>
          <w:rFonts w:ascii="Consolas" w:cs="Consolas" w:eastAsia="Consolas" w:hAnsi="Consolas"/>
          <w:color w:val="9A3412"/>
          <w:sz w:val="19"/>
          <w:szCs w:val="19"/>
        </w:rPr>
        <w:t xml:space="preserve">docs/rgpd.md</w:t>
      </w:r>
      <w:r>
        <w:rPr>
          <w:rFonts w:ascii="Calibri" w:cs="Calibri" w:eastAsia="Calibri" w:hAnsi="Calibri"/>
          <w:color w:val="1E293B"/>
          <w:sz w:val="21"/>
          <w:szCs w:val="21"/>
        </w:rPr>
        <w:t xml:space="preserve">. Points clés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shd w:fill="2563EB"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Rubrique</w:t>
            </w:r>
          </w:p>
        </w:tc>
        <w:tc>
          <w:tcPr>
            <w:tcW w:type="dxa" w:w="7338"/>
            <w:shd w:fill="2563EB"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Mesure</w:t>
            </w:r>
          </w:p>
        </w:tc>
      </w:tr>
      <w:tr>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Finalité</w:t>
            </w:r>
          </w:p>
        </w:tc>
        <w:tc>
          <w:tcPr>
            <w:tcW w:type="dxa" w:w="73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Statistiques agrégées sur le marché du travail francilien</w:t>
            </w:r>
          </w:p>
        </w:tc>
      </w:tr>
      <w:tr>
        <w:tc>
          <w:tcPr>
            <w:tcW w:type="dxa" w:w="2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Base légale</w:t>
            </w:r>
          </w:p>
        </w:tc>
        <w:tc>
          <w:tcPr>
            <w:tcW w:type="dxa" w:w="73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Intérêt légitime — données publiées par les employeurs, collectées via les API officielles</w:t>
            </w:r>
          </w:p>
        </w:tc>
      </w:tr>
      <w:tr>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Personnes concernées</w:t>
            </w:r>
          </w:p>
        </w:tc>
        <w:tc>
          <w:tcPr>
            <w:tcW w:type="dxa" w:w="73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Aucun candidat. Seules les coordonnées de recruteurs peuvent figurer dans le texte libre</w:t>
            </w:r>
          </w:p>
        </w:tc>
      </w:tr>
      <w:tr>
        <w:tc>
          <w:tcPr>
            <w:tcW w:type="dxa" w:w="2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Minimisation</w:t>
            </w:r>
          </w:p>
        </w:tc>
        <w:tc>
          <w:tcPr>
            <w:tcW w:type="dxa" w:w="73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Description tronquée à 300 caractères ; e-mails et téléphones masqués avant stockage</w:t>
            </w:r>
          </w:p>
        </w:tc>
      </w:tr>
      <w:tr>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Conservation</w:t>
            </w:r>
          </w:p>
        </w:tc>
        <w:tc>
          <w:tcPr>
            <w:tcW w:type="dxa" w:w="73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12 mois glissants — </w:t>
            </w:r>
            <w:r>
              <w:rPr>
                <w:rFonts w:ascii="Consolas" w:cs="Consolas" w:eastAsia="Consolas" w:hAnsi="Consolas"/>
                <w:color w:val="9A3412"/>
                <w:sz w:val="19"/>
                <w:szCs w:val="19"/>
              </w:rPr>
              <w:t xml:space="preserve">purger_offres_anciennes()</w:t>
            </w:r>
            <w:r>
              <w:rPr>
                <w:rFonts w:ascii="Calibri" w:cs="Calibri" w:eastAsia="Calibri" w:hAnsi="Calibri"/>
                <w:color w:val="1E293B"/>
                <w:sz w:val="21"/>
                <w:szCs w:val="21"/>
              </w:rPr>
              <w:t xml:space="preserve"> à chaque exécution (82 offres purgées)</w:t>
            </w:r>
          </w:p>
        </w:tc>
      </w:tr>
      <w:tr>
        <w:tc>
          <w:tcPr>
            <w:tcW w:type="dxa" w:w="2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Sécurité</w:t>
            </w:r>
          </w:p>
        </w:tc>
        <w:tc>
          <w:tcPr>
            <w:tcW w:type="dxa" w:w="73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Secrets dans </w:t>
            </w:r>
            <w:r>
              <w:rPr>
                <w:rFonts w:ascii="Consolas" w:cs="Consolas" w:eastAsia="Consolas" w:hAnsi="Consolas"/>
                <w:color w:val="9A3412"/>
                <w:sz w:val="19"/>
                <w:szCs w:val="19"/>
              </w:rPr>
              <w:t xml:space="preserve">.env</w:t>
            </w:r>
            <w:r>
              <w:rPr>
                <w:rFonts w:ascii="Calibri" w:cs="Calibri" w:eastAsia="Calibri" w:hAnsi="Calibri"/>
                <w:color w:val="1E293B"/>
                <w:sz w:val="21"/>
                <w:szCs w:val="21"/>
              </w:rPr>
              <w:t xml:space="preserve"> ; base ouverte en lecture seule par l’API ; requêtes paramétrées ; clé API</w:t>
            </w:r>
          </w:p>
        </w:tc>
      </w:tr>
      <w:tr>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Contrôle</w:t>
            </w:r>
          </w:p>
        </w:tc>
        <w:tc>
          <w:tcPr>
            <w:tcW w:type="dxa" w:w="73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Test automatisé </w:t>
            </w:r>
            <w:r>
              <w:rPr>
                <w:rFonts w:ascii="Consolas" w:cs="Consolas" w:eastAsia="Consolas" w:hAnsi="Consolas"/>
                <w:color w:val="9A3412"/>
                <w:sz w:val="19"/>
                <w:szCs w:val="19"/>
              </w:rPr>
              <w:t xml:space="preserve">test_aucune_donnee_personnelle</w:t>
            </w:r>
          </w:p>
        </w:tc>
      </w:tr>
    </w:tbl>
    <w:p>
      <w:pPr>
        <w:pStyle w:val="Heading1"/>
        <w:pageBreakBefore/>
        <w:pBdr>
          <w:bottom w:val="single" w:color="EA7317" w:sz="12" w:space="4"/>
        </w:pBdr>
        <w:spacing w:after="200"/>
      </w:pPr>
      <w:r>
        <w:rPr>
          <w:rFonts w:ascii="Calibri" w:cs="Calibri" w:eastAsia="Calibri" w:hAnsi="Calibri"/>
          <w:b/>
          <w:bCs/>
          <w:color w:val="EA7317"/>
          <w:sz w:val="34"/>
          <w:szCs w:val="34"/>
        </w:rPr>
        <w:t xml:space="preserve">8. C5 — Mettre à disposition les données via une API</w:t>
      </w:r>
    </w:p>
    <w:p>
      <w:pPr>
        <w:spacing w:after="120" w:line="290"/>
      </w:pPr>
      <w:r>
        <w:rPr>
          <w:rFonts w:ascii="Calibri" w:cs="Calibri" w:eastAsia="Calibri" w:hAnsi="Calibri"/>
          <w:color w:val="1E293B"/>
          <w:sz w:val="21"/>
          <w:szCs w:val="21"/>
        </w:rPr>
        <w:t xml:space="preserve">L’API REST est développée avec </w:t>
      </w:r>
      <w:r>
        <w:rPr>
          <w:rFonts w:ascii="Calibri" w:cs="Calibri" w:eastAsia="Calibri" w:hAnsi="Calibri"/>
          <w:b/>
          <w:bCs/>
          <w:color w:val="1E293B"/>
          <w:sz w:val="21"/>
          <w:szCs w:val="21"/>
        </w:rPr>
        <w:t xml:space="preserve">FastAPI</w:t>
      </w:r>
      <w:r>
        <w:rPr>
          <w:rFonts w:ascii="Calibri" w:cs="Calibri" w:eastAsia="Calibri" w:hAnsi="Calibri"/>
          <w:color w:val="1E293B"/>
          <w:sz w:val="21"/>
          <w:szCs w:val="21"/>
        </w:rPr>
        <w:t xml:space="preserve">. Elle expose les offres et les indicateurs de tension en lecture seule, avec une documentation interactive générée automatiquement (OpenAPI / Swagger).</w:t>
      </w:r>
    </w:p>
    <w:p>
      <w:pPr>
        <w:pStyle w:val="Heading2"/>
        <w:spacing w:after="120" w:before="260"/>
      </w:pPr>
      <w:r>
        <w:rPr>
          <w:rFonts w:ascii="Calibri" w:cs="Calibri" w:eastAsia="Calibri" w:hAnsi="Calibri"/>
          <w:b/>
          <w:bCs/>
          <w:color w:val="EA7317"/>
          <w:sz w:val="26"/>
          <w:szCs w:val="26"/>
        </w:rPr>
        <w:t xml:space="preserve">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900"/>
        <w:gridCol w:w="5538"/>
      </w:tblGrid>
      <w:tr>
        <w:trPr>
          <w:tblHeader/>
        </w:trPr>
        <w:tc>
          <w:tcPr>
            <w:tcW w:type="dxa" w:w="900"/>
            <w:shd w:fill="EA7317"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Méthode</w:t>
            </w:r>
          </w:p>
        </w:tc>
        <w:tc>
          <w:tcPr>
            <w:tcW w:type="dxa" w:w="2300"/>
            <w:shd w:fill="EA7317"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Endpoint</w:t>
            </w:r>
          </w:p>
        </w:tc>
        <w:tc>
          <w:tcPr>
            <w:tcW w:type="dxa" w:w="900"/>
            <w:shd w:fill="EA7317"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Accès</w:t>
            </w:r>
          </w:p>
        </w:tc>
        <w:tc>
          <w:tcPr>
            <w:tcW w:type="dxa" w:w="5538"/>
            <w:shd w:fill="EA7317"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Description</w:t>
            </w:r>
          </w:p>
        </w:tc>
      </w:tr>
      <w:tr>
        <w:tc>
          <w:tcPr>
            <w:tcW w:type="dxa" w:w="9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GET</w:t>
            </w:r>
          </w:p>
        </w:tc>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/health</w:t>
            </w:r>
          </w:p>
        </w:tc>
        <w:tc>
          <w:tcPr>
            <w:tcW w:type="dxa" w:w="9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Public</w:t>
            </w:r>
          </w:p>
        </w:tc>
        <w:tc>
          <w:tcPr>
            <w:tcW w:type="dxa" w:w="55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Disponibilité, nombre d’offres et de métiers, date de mise à jour</w:t>
            </w:r>
          </w:p>
        </w:tc>
      </w:tr>
      <w:tr>
        <w:tc>
          <w:tcPr>
            <w:tcW w:type="dxa" w:w="9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GET</w:t>
            </w:r>
          </w:p>
        </w:tc>
        <w:tc>
          <w:tcPr>
            <w:tcW w:type="dxa" w:w="2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/offres</w:t>
            </w:r>
          </w:p>
        </w:tc>
        <w:tc>
          <w:tcPr>
            <w:tcW w:type="dxa" w:w="9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Clé</w:t>
            </w:r>
          </w:p>
        </w:tc>
        <w:tc>
          <w:tcPr>
            <w:tcW w:type="dxa" w:w="55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Liste paginée ; filtres departement, code_rome, source, contrat, q (mot-clé)</w:t>
            </w:r>
          </w:p>
        </w:tc>
      </w:tr>
      <w:tr>
        <w:tc>
          <w:tcPr>
            <w:tcW w:type="dxa" w:w="9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GET</w:t>
            </w:r>
          </w:p>
        </w:tc>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/offres/{id}</w:t>
            </w:r>
          </w:p>
        </w:tc>
        <w:tc>
          <w:tcPr>
            <w:tcW w:type="dxa" w:w="9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Clé</w:t>
            </w:r>
          </w:p>
        </w:tc>
        <w:tc>
          <w:tcPr>
            <w:tcW w:type="dxa" w:w="55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Détail d’une offre (404 si inexistante)</w:t>
            </w:r>
          </w:p>
        </w:tc>
      </w:tr>
      <w:tr>
        <w:tc>
          <w:tcPr>
            <w:tcW w:type="dxa" w:w="9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GET</w:t>
            </w:r>
          </w:p>
        </w:tc>
        <w:tc>
          <w:tcPr>
            <w:tcW w:type="dxa" w:w="2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/metiers</w:t>
            </w:r>
          </w:p>
        </w:tc>
        <w:tc>
          <w:tcPr>
            <w:tcW w:type="dxa" w:w="9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Clé</w:t>
            </w:r>
          </w:p>
        </w:tc>
        <w:tc>
          <w:tcPr>
            <w:tcW w:type="dxa" w:w="55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Indicateurs de tension triés, filtre statut</w:t>
            </w:r>
          </w:p>
        </w:tc>
      </w:tr>
      <w:tr>
        <w:tc>
          <w:tcPr>
            <w:tcW w:type="dxa" w:w="9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GET</w:t>
            </w:r>
          </w:p>
        </w:tc>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/metiers/{code_rome}</w:t>
            </w:r>
          </w:p>
        </w:tc>
        <w:tc>
          <w:tcPr>
            <w:tcW w:type="dxa" w:w="9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Clé</w:t>
            </w:r>
          </w:p>
        </w:tc>
        <w:tc>
          <w:tcPr>
            <w:tcW w:type="dxa" w:w="55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Fiche métier : répartition par département et par contrat</w:t>
            </w:r>
          </w:p>
        </w:tc>
      </w:tr>
      <w:tr>
        <w:tc>
          <w:tcPr>
            <w:tcW w:type="dxa" w:w="9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GET</w:t>
            </w:r>
          </w:p>
        </w:tc>
        <w:tc>
          <w:tcPr>
            <w:tcW w:type="dxa" w:w="23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/stats/departements</w:t>
            </w:r>
          </w:p>
        </w:tc>
        <w:tc>
          <w:tcPr>
            <w:tcW w:type="dxa" w:w="9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Clé</w:t>
            </w:r>
          </w:p>
        </w:tc>
        <w:tc>
          <w:tcPr>
            <w:tcW w:type="dxa" w:w="55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Volume, densité (offres / 100 km²), part de CDI, salaire médian, coordonnées</w:t>
            </w:r>
          </w:p>
        </w:tc>
      </w:tr>
      <w:tr>
        <w:tc>
          <w:tcPr>
            <w:tcW w:type="dxa" w:w="9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GET</w:t>
            </w:r>
          </w:p>
        </w:tc>
        <w:tc>
          <w:tcPr>
            <w:tcW w:type="dxa" w:w="23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/stats/tension</w:t>
            </w:r>
          </w:p>
        </w:tc>
        <w:tc>
          <w:tcPr>
            <w:tcW w:type="dxa" w:w="9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Clé</w:t>
            </w:r>
          </w:p>
        </w:tc>
        <w:tc>
          <w:tcPr>
            <w:tcW w:type="dxa" w:w="55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Nombre de métiers et d’offres par statut</w:t>
            </w:r>
          </w:p>
        </w:tc>
      </w:tr>
    </w:tbl>
    <w:p>
      <w:pPr>
        <w:pStyle w:val="Heading2"/>
        <w:spacing w:after="120" w:before="260"/>
      </w:pPr>
      <w:r>
        <w:rPr>
          <w:rFonts w:ascii="Calibri" w:cs="Calibri" w:eastAsia="Calibri" w:hAnsi="Calibri"/>
          <w:b/>
          <w:bCs/>
          <w:color w:val="EA7317"/>
          <w:sz w:val="26"/>
          <w:szCs w:val="26"/>
        </w:rPr>
        <w:t xml:space="preserve">Sécurité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shd w:fill="EA7317"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Risque</w:t>
            </w:r>
          </w:p>
        </w:tc>
        <w:tc>
          <w:tcPr>
            <w:tcW w:type="dxa" w:w="7238"/>
            <w:shd w:fill="EA7317"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Mesure</w:t>
            </w:r>
          </w:p>
        </w:tc>
      </w:tr>
      <w:tr>
        <w:tc>
          <w:tcPr>
            <w:tcW w:type="dxa" w:w="24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Accès non autorisé</w:t>
            </w:r>
          </w:p>
        </w:tc>
        <w:tc>
          <w:tcPr>
            <w:tcW w:type="dxa" w:w="72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En-tête </w:t>
            </w:r>
            <w:r>
              <w:rPr>
                <w:rFonts w:ascii="Consolas" w:cs="Consolas" w:eastAsia="Consolas" w:hAnsi="Consolas"/>
                <w:color w:val="9A3412"/>
                <w:sz w:val="19"/>
                <w:szCs w:val="19"/>
              </w:rPr>
              <w:t xml:space="preserve">X-API-Key</w:t>
            </w:r>
            <w:r>
              <w:rPr>
                <w:rFonts w:ascii="Calibri" w:cs="Calibri" w:eastAsia="Calibri" w:hAnsi="Calibri"/>
                <w:color w:val="1E293B"/>
                <w:sz w:val="21"/>
                <w:szCs w:val="21"/>
              </w:rPr>
              <w:t xml:space="preserve"> obligatoire (sauf /health) → HTTP 403 ; clé lue dans la variable d’environnement </w:t>
            </w:r>
            <w:r>
              <w:rPr>
                <w:rFonts w:ascii="Consolas" w:cs="Consolas" w:eastAsia="Consolas" w:hAnsi="Consolas"/>
                <w:color w:val="9A3412"/>
                <w:sz w:val="19"/>
                <w:szCs w:val="19"/>
              </w:rPr>
              <w:t xml:space="preserve">PPMT_API_KEY</w:t>
            </w:r>
          </w:p>
        </w:tc>
      </w:tr>
      <w:tr>
        <w:tc>
          <w:tcPr>
            <w:tcW w:type="dxa" w:w="24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Injection SQL</w:t>
            </w:r>
          </w:p>
        </w:tc>
        <w:tc>
          <w:tcPr>
            <w:tcW w:type="dxa" w:w="72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Requêtes paramétrées (</w:t>
            </w:r>
            <w:r>
              <w:rPr>
                <w:rFonts w:ascii="Consolas" w:cs="Consolas" w:eastAsia="Consolas" w:hAnsi="Consolas"/>
                <w:color w:val="9A3412"/>
                <w:sz w:val="19"/>
                <w:szCs w:val="19"/>
              </w:rPr>
              <w:t xml:space="preserve">?</w:t>
            </w:r>
            <w:r>
              <w:rPr>
                <w:rFonts w:ascii="Calibri" w:cs="Calibri" w:eastAsia="Calibri" w:hAnsi="Calibri"/>
                <w:color w:val="1E293B"/>
                <w:sz w:val="21"/>
                <w:szCs w:val="21"/>
              </w:rPr>
              <w:t xml:space="preserve">) ; aucun paramètre concaténé dans le SQL</w:t>
            </w:r>
          </w:p>
        </w:tc>
      </w:tr>
      <w:tr>
        <w:tc>
          <w:tcPr>
            <w:tcW w:type="dxa" w:w="24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Paramètres invalides</w:t>
            </w:r>
          </w:p>
        </w:tc>
        <w:tc>
          <w:tcPr>
            <w:tcW w:type="dxa" w:w="72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Validation Pydantic : motif du département, du code ROME, bornes de pagination → HTTP 422</w:t>
            </w:r>
          </w:p>
        </w:tc>
      </w:tr>
      <w:tr>
        <w:tc>
          <w:tcPr>
            <w:tcW w:type="dxa" w:w="24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Extraction massive</w:t>
            </w:r>
          </w:p>
        </w:tc>
        <w:tc>
          <w:tcPr>
            <w:tcW w:type="dxa" w:w="7238"/>
            <w:shd w:fill="F8FAFC" w:color="auto" w:val="clear"/>
            <w:tcMar>
              <w:top w:type="dxa" w:w="70"/>
              <w:left w:type="dxa" w:w="100"/>
              <w:bottom w:type="dxa" w:w="70"/>
              <w:right w:type="dxa" w:w="100"/>
            </w:tcMar>
          </w:tcPr>
          <w:p>
            <w:pPr>
              <w:spacing w:after="0" w:line="260"/>
            </w:pPr>
            <w:r>
              <w:rPr>
                <w:rFonts w:ascii="Consolas" w:cs="Consolas" w:eastAsia="Consolas" w:hAnsi="Consolas"/>
                <w:color w:val="9A3412"/>
                <w:sz w:val="19"/>
                <w:szCs w:val="19"/>
              </w:rPr>
              <w:t xml:space="preserve">limit</w:t>
            </w:r>
            <w:r>
              <w:rPr>
                <w:rFonts w:ascii="Calibri" w:cs="Calibri" w:eastAsia="Calibri" w:hAnsi="Calibri"/>
                <w:color w:val="1E293B"/>
                <w:sz w:val="21"/>
                <w:szCs w:val="21"/>
              </w:rPr>
              <w:t xml:space="preserve"> plafonné à 500 par page</w:t>
            </w:r>
          </w:p>
        </w:tc>
      </w:tr>
      <w:tr>
        <w:tc>
          <w:tcPr>
            <w:tcW w:type="dxa" w:w="24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Modification des données</w:t>
            </w:r>
          </w:p>
        </w:tc>
        <w:tc>
          <w:tcPr>
            <w:tcW w:type="dxa" w:w="72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Verbe GET uniquement (405 sinon) ; connexion SQLite en mode lecture seule (</w:t>
            </w:r>
            <w:r>
              <w:rPr>
                <w:rFonts w:ascii="Consolas" w:cs="Consolas" w:eastAsia="Consolas" w:hAnsi="Consolas"/>
                <w:color w:val="9A3412"/>
                <w:sz w:val="19"/>
                <w:szCs w:val="19"/>
              </w:rPr>
              <w:t xml:space="preserve">mode=ro</w:t>
            </w:r>
            <w:r>
              <w:rPr>
                <w:rFonts w:ascii="Calibri" w:cs="Calibri" w:eastAsia="Calibri" w:hAnsi="Calibri"/>
                <w:color w:val="1E293B"/>
                <w:sz w:val="21"/>
                <w:szCs w:val="21"/>
              </w:rPr>
              <w:t xml:space="preserve">)</w:t>
            </w:r>
          </w:p>
        </w:tc>
      </w:tr>
      <w:tr>
        <w:tc>
          <w:tcPr>
            <w:tcW w:type="dxa" w:w="24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Appels cross-origin</w:t>
            </w:r>
          </w:p>
        </w:tc>
        <w:tc>
          <w:tcPr>
            <w:tcW w:type="dxa" w:w="72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CORS limité au verbe GET</w:t>
            </w:r>
          </w:p>
        </w:tc>
      </w:tr>
    </w:tbl>
    <w:p>
      <w:pPr>
        <w:spacing w:after="0" w:before="120"/>
      </w:pPr>
      <w:r>
        <w:rPr>
          <w:rFonts w:ascii="Consolas" w:cs="Consolas" w:eastAsia="Consolas" w:hAnsi="Consolas"/>
          <w:i/>
          <w:iCs/>
          <w:color w:val="64748B"/>
          <w:sz w:val="16"/>
          <w:szCs w:val="16"/>
        </w:rPr>
        <w:t xml:space="preserve">api/main.py — contrôle de la clé</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_api_key_header = APIKeyHeader(name="X-API-Key", auto_error=False)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def verifier_cle(key: Optional[str] = Security(_api_key_header)) -&gt; None: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if key != API_KEY:</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        raise HTTPException(status_code=403, detail="Clé API invalide ou manquante")</w:t>
      </w:r>
    </w:p>
    <w:p>
      <w:pPr>
        <w:spacing w:after="0" w:before="120"/>
      </w:pPr>
      <w:r>
        <w:rPr>
          <w:rFonts w:ascii="Consolas" w:cs="Consolas" w:eastAsia="Consolas" w:hAnsi="Consolas"/>
          <w:i/>
          <w:iCs/>
          <w:color w:val="64748B"/>
          <w:sz w:val="16"/>
          <w:szCs w:val="16"/>
        </w:rPr>
        <w:t xml:space="preserve">api/main.py — endpoint /offres (filtres + pagination, SQL paramétré)</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@app.get("/offres", response_model=PageOffres, tags=["Offres"], dependencies=[Depends(verifier_cle)],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summary="Liste paginée et filtrable des offres")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def lister_offres(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departement: Optional[str] = Query(None, pattern=r"^(75|77|78|91|92|93|94|95)$", description="Code département"),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code_rome: Optional[str] = Query(None, pattern=r"^[A-N]\d{4}$", description="Code ROME, ex. J1502"),</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source: Optional[Source] = None,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contrat: Optional[str] = Query(None, description="CDI, CDD, Intérim, Libéral, Autre…"),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q: Optional[str] = Query(None, min_length=2, description="Mot-clé dans l'intitulé"),</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limit: int = Query(50, ge=1, le=500),</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offset: int = Query(0, ge=0),</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filtres, params = [],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for col, val in (("code_dept", departement), ("code_rome", code_rome),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("source", source.value if source else None), ("contrat", contrat)):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if val:</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filtres.append(f"{col} =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params.append(val)</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if q:</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filtres.append("titre LIKE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params.append(f"%{q}%")</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where = f"WHERE {' AND '.join(filtres)}" if filtres else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with db() as conn:</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total = conn.execute(f"SELECT COUNT(*) FROM offres {where}", params).fetchone()[0]</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res = lignes(conn, f"""SELECT id, source, titre, entreprise, lieu, code_dept, code_rome, contrat,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salaire_moyen, salaire_impute, date_publication, url</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FROM offres {where}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ORDER BY date_publication DESC LIMIT ? OFFSET ?""", params + [limit, offset])</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    return {"total": total, "limit": limit, "offset": offset, "resultats": res}</w:t>
      </w:r>
    </w:p>
    <w:p>
      <w:pPr>
        <w:pStyle w:val="Heading2"/>
        <w:spacing w:after="120" w:before="260"/>
      </w:pPr>
      <w:r>
        <w:rPr>
          <w:rFonts w:ascii="Calibri" w:cs="Calibri" w:eastAsia="Calibri" w:hAnsi="Calibri"/>
          <w:b/>
          <w:bCs/>
          <w:color w:val="EA7317"/>
          <w:sz w:val="26"/>
          <w:szCs w:val="26"/>
        </w:rPr>
        <w:t xml:space="preserve">Documentation Swagger</w:t>
      </w:r>
    </w:p>
    <w:p>
      <w:pPr>
        <w:spacing w:after="40" w:before="120"/>
        <w:jc w:val="center"/>
      </w:pPr>
      <w:r>
        <w:drawing>
          <wp:inline distT="0" distB="0" distL="0" distR="0">
            <wp:extent cx="53340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18147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6 — Documentation interactive générée par FastAPI (/docs)</w:t>
      </w:r>
    </w:p>
    <w:p>
      <w:pPr>
        <w:pStyle w:val="Heading2"/>
        <w:spacing w:after="120" w:before="260"/>
      </w:pPr>
      <w:r>
        <w:rPr>
          <w:rFonts w:ascii="Calibri" w:cs="Calibri" w:eastAsia="Calibri" w:hAnsi="Calibri"/>
          <w:b/>
          <w:bCs/>
          <w:color w:val="EA7317"/>
          <w:sz w:val="26"/>
          <w:szCs w:val="26"/>
        </w:rPr>
        <w:t xml:space="preserve">Preuve d’exposition des données</w:t>
      </w:r>
    </w:p>
    <w:p>
      <w:pPr>
        <w:spacing w:after="120" w:line="290"/>
      </w:pPr>
      <w:r>
        <w:rPr>
          <w:rFonts w:ascii="Calibri" w:cs="Calibri" w:eastAsia="Calibri" w:hAnsi="Calibri"/>
          <w:color w:val="1E293B"/>
          <w:sz w:val="21"/>
          <w:szCs w:val="21"/>
        </w:rPr>
        <w:t xml:space="preserve">Appels réels sur l’API lancée localement (</w:t>
      </w:r>
      <w:r>
        <w:rPr>
          <w:rFonts w:ascii="Consolas" w:cs="Consolas" w:eastAsia="Consolas" w:hAnsi="Consolas"/>
          <w:color w:val="9A3412"/>
          <w:sz w:val="19"/>
          <w:szCs w:val="19"/>
        </w:rPr>
        <w:t xml:space="preserve">uvicorn api.main:app</w:t>
      </w:r>
      <w:r>
        <w:rPr>
          <w:rFonts w:ascii="Calibri" w:cs="Calibri" w:eastAsia="Calibri" w:hAnsi="Calibri"/>
          <w:color w:val="1E293B"/>
          <w:sz w:val="21"/>
          <w:szCs w:val="21"/>
        </w:rPr>
        <w:t xml:space="preserve">) avec la base produite par le pipeline :</w:t>
      </w:r>
    </w:p>
    <w:p>
      <w:pPr>
        <w:spacing w:after="0" w:before="120"/>
      </w:pPr>
      <w:r>
        <w:rPr>
          <w:rFonts w:ascii="Consolas" w:cs="Consolas" w:eastAsia="Consolas" w:hAnsi="Consolas"/>
          <w:i/>
          <w:iCs/>
          <w:color w:val="64748B"/>
          <w:sz w:val="16"/>
          <w:szCs w:val="16"/>
        </w:rPr>
        <w:t xml:space="preserve">Contrôles d’accès et de validation</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curl http://localhost:8000/health</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{"status":"ok","nb_offres":28219,"nb_metiers":1100,"derniere_mise_a_jour":"2026-09-28T16:16:37"}</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curl http://localhost:8000/metiers           # sans clé</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{"detail":"Clé API invalide ou manquante"}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HTTP 403</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curl -H "X-API-Key: $PPMT_API_KEY" "http://localhost:8000/offres?departement=13"</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 HTTP 422 : String should match pattern '^(75|77|78|91|92|93|94|95)$'</w:t>
      </w:r>
    </w:p>
    <w:p>
      <w:pPr>
        <w:spacing w:after="0" w:before="120"/>
      </w:pPr>
      <w:r>
        <w:rPr>
          <w:rFonts w:ascii="Consolas" w:cs="Consolas" w:eastAsia="Consolas" w:hAnsi="Consolas"/>
          <w:i/>
          <w:iCs/>
          <w:color w:val="64748B"/>
          <w:sz w:val="16"/>
          <w:szCs w:val="16"/>
        </w:rPr>
        <w:t xml:space="preserve">Fiche métier « Aide ménager / Aide ménagère à domicile » (répartitions tronquées à 3 lignes)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curl -H "X-API-Key: $PPMT_API_KEY" http://localhost:8000/metiers/K1304</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"code_rome": "K1304",</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"libelle": "Aide ménager / Aide ménagère à domicile",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"nb_offres_ft": 452,</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"nb_offres_adzuna": 17,</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"nb_offres_total": 469,</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"nb_entreprises": 87,</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"part_cdi": 79.7,</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"salaire_median": 22074.0,</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"part_salaire_affiche": 32.0,</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"indice_tension": 1907.2,</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"statut": "TRES EN TENSION",</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"repartition_departements":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 "code_dept": "78", "nom": "Yvelines", "nb_offres": 90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 "code_dept": "94", "nom": "Val-de-Marne", "nb_offres": 73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 "code_dept": "77", "nom": "Seine-et-Marne", "nb_offres": 71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"repartition_contrats":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 "contrat": "CDI", "nb_offres": 374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 "contrat": "CDD", "nb_offres": 74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 "contrat": "Non renseigné", "nb_offres": 17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w:t>
      </w:r>
    </w:p>
    <w:p>
      <w:pPr>
        <w:spacing w:after="40" w:before="120"/>
        <w:jc w:val="center"/>
      </w:pPr>
      <w:r>
        <w:drawing>
          <wp:inline distT="0" distB="0" distL="0" distR="0">
            <wp:extent cx="38100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406717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7 — Même appel depuis Swagger (« Try it out »)</w:t>
      </w:r>
    </w:p>
    <w:p>
      <w:pPr>
        <w:pStyle w:val="Heading2"/>
        <w:spacing w:after="120" w:before="260"/>
      </w:pPr>
      <w:r>
        <w:rPr>
          <w:rFonts w:ascii="Calibri" w:cs="Calibri" w:eastAsia="Calibri" w:hAnsi="Calibri"/>
          <w:b/>
          <w:bCs/>
          <w:color w:val="EA7317"/>
          <w:sz w:val="26"/>
          <w:szCs w:val="26"/>
        </w:rPr>
        <w:t xml:space="preserve">Déploiement</w:t>
      </w:r>
    </w:p>
    <w:p>
      <w:pPr>
        <w:spacing w:after="0" w:before="120"/>
      </w:pPr>
      <w:r>
        <w:rPr>
          <w:rFonts w:ascii="Consolas" w:cs="Consolas" w:eastAsia="Consolas" w:hAnsi="Consolas"/>
          <w:i/>
          <w:iCs/>
          <w:color w:val="64748B"/>
          <w:sz w:val="16"/>
          <w:szCs w:val="16"/>
        </w:rPr>
        <w:t xml:space="preserve">Dockerfile — image légère de l’API</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Image de l'API PPMT (C5) — déployable sur Google Cloud Run, Render, Railway…</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FROM python:3.11-slim</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WORKDIR /app</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COPY api/requirements-api.txt .</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RUN pip install --no-cache-dir -r requirements-api.txt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COPY api/ ./api/</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COPY data/ppmt.db ./data/ppmt.db</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ENV PORT=8080 PPMT_DB=/app/data/ppmt.db</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PPMT_API_KEY doit être fournie à l'exécution (secret), ex. : docker run -e PPMT_API_KEY=... </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CMD uvicorn api.main:app --host 0.0.0.0 --port ${PORT}</w:t>
      </w:r>
    </w:p>
    <w:p>
      <w:pPr>
        <w:spacing w:after="120" w:line="290"/>
      </w:pPr>
      <w:r>
        <w:rPr>
          <w:rFonts w:ascii="Calibri" w:cs="Calibri" w:eastAsia="Calibri" w:hAnsi="Calibri"/>
          <w:color w:val="1E293B"/>
          <w:sz w:val="21"/>
          <w:szCs w:val="21"/>
        </w:rPr>
        <w:t xml:space="preserve">L’image n’embarque que FastAPI, Uvicorn et Pydantic (pas pandas) ; elle est déployable telle quelle sur Google Cloud Run ou Render. La clé API est injectée comme secret au lancement.</w:t>
      </w:r>
    </w:p>
    <w:p>
      <w:pPr>
        <w:pStyle w:val="Heading1"/>
        <w:pageBreakBefore/>
        <w:pBdr>
          <w:bottom w:val="single" w:color="0E4D64" w:sz="12" w:space="4"/>
        </w:pBdr>
        <w:spacing w:after="200"/>
      </w:pPr>
      <w:r>
        <w:rPr>
          <w:rFonts w:ascii="Calibri" w:cs="Calibri" w:eastAsia="Calibri" w:hAnsi="Calibri"/>
          <w:b/>
          <w:bCs/>
          <w:color w:val="0E4D64"/>
          <w:sz w:val="34"/>
          <w:szCs w:val="34"/>
        </w:rPr>
        <w:t xml:space="preserve">9. Tests et qualité</w:t>
      </w:r>
    </w:p>
    <w:p>
      <w:pPr>
        <w:spacing w:after="120" w:line="290"/>
      </w:pPr>
      <w:r>
        <w:rPr>
          <w:rFonts w:ascii="Consolas" w:cs="Consolas" w:eastAsia="Consolas" w:hAnsi="Consolas"/>
          <w:color w:val="9A3412"/>
          <w:sz w:val="19"/>
          <w:szCs w:val="19"/>
        </w:rPr>
        <w:t xml:space="preserve">tests/test_pipeline.py</w:t>
      </w:r>
      <w:r>
        <w:rPr>
          <w:rFonts w:ascii="Calibri" w:cs="Calibri" w:eastAsia="Calibri" w:hAnsi="Calibri"/>
          <w:color w:val="1E293B"/>
          <w:sz w:val="21"/>
          <w:szCs w:val="21"/>
        </w:rPr>
        <w:t xml:space="preserve"> contient </w:t>
      </w:r>
      <w:r>
        <w:rPr>
          <w:rFonts w:ascii="Calibri" w:cs="Calibri" w:eastAsia="Calibri" w:hAnsi="Calibri"/>
          <w:b/>
          <w:bCs/>
          <w:color w:val="1E293B"/>
          <w:sz w:val="21"/>
          <w:szCs w:val="21"/>
        </w:rPr>
        <w:t xml:space="preserve">57 tests</w:t>
      </w:r>
      <w:r>
        <w:rPr>
          <w:rFonts w:ascii="Calibri" w:cs="Calibri" w:eastAsia="Calibri" w:hAnsi="Calibri"/>
          <w:color w:val="1E293B"/>
          <w:sz w:val="21"/>
          <w:szCs w:val="21"/>
        </w:rPr>
        <w:t xml:space="preserve"> exécutés avec </w:t>
      </w:r>
      <w:r>
        <w:rPr>
          <w:rFonts w:ascii="Consolas" w:cs="Consolas" w:eastAsia="Consolas" w:hAnsi="Consolas"/>
          <w:color w:val="9A3412"/>
          <w:sz w:val="19"/>
          <w:szCs w:val="19"/>
        </w:rPr>
        <w:t xml:space="preserve">pytest tests/ -v</w:t>
      </w:r>
      <w:r>
        <w:rPr>
          <w:rFonts w:ascii="Calibri" w:cs="Calibri" w:eastAsia="Calibri" w:hAnsi="Calibri"/>
          <w:color w:val="1E293B"/>
          <w:sz w:val="21"/>
          <w:szCs w:val="21"/>
        </w:rPr>
        <w:t xml:space="preserve">. Les appels aux API externes sont simulés (objets </w:t>
      </w:r>
      <w:r>
        <w:rPr>
          <w:rFonts w:ascii="Consolas" w:cs="Consolas" w:eastAsia="Consolas" w:hAnsi="Consolas"/>
          <w:color w:val="9A3412"/>
          <w:sz w:val="19"/>
          <w:szCs w:val="19"/>
        </w:rPr>
        <w:t xml:space="preserve">FakeSession</w:t>
      </w:r>
      <w:r>
        <w:rPr>
          <w:rFonts w:ascii="Calibri" w:cs="Calibri" w:eastAsia="Calibri" w:hAnsi="Calibri"/>
          <w:color w:val="1E293B"/>
          <w:sz w:val="21"/>
          <w:szCs w:val="21"/>
        </w:rPr>
        <w:t xml:space="preserve">) pour tester la pagination et la reprise sur erreur sans dépendre du réseau ni consommer de quota.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6238"/>
      </w:tblGrid>
      <w:tr>
        <w:trPr>
          <w:tblHeader/>
        </w:trPr>
        <w:tc>
          <w:tcPr>
            <w:tcW w:type="dxa" w:w="2600"/>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Catégorie</w:t>
            </w:r>
          </w:p>
        </w:tc>
        <w:tc>
          <w:tcPr>
            <w:tcW w:type="dxa" w:w="800"/>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Tests</w:t>
            </w:r>
          </w:p>
        </w:tc>
        <w:tc>
          <w:tcPr>
            <w:tcW w:type="dxa" w:w="6238"/>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Exemples de vérifications</w:t>
            </w:r>
          </w:p>
        </w:tc>
      </w:tr>
      <w:tr>
        <w:tc>
          <w:tcPr>
            <w:tcW w:type="dxa" w:w="26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C1 — collecte (API simulées)</w:t>
            </w:r>
          </w:p>
        </w:tc>
        <w:tc>
          <w:tcPr>
            <w:tcW w:type="dxa" w:w="8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4</w:t>
            </w:r>
          </w:p>
        </w:tc>
        <w:tc>
          <w:tcPr>
            <w:tcW w:type="dxa" w:w="62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arrêt à la dernière page ; plafond 3 150 offres ; reprise après HTTP 429 ; aplatissement du JSON</w:t>
            </w:r>
          </w:p>
        </w:tc>
      </w:tr>
      <w:tr>
        <w:tc>
          <w:tcPr>
            <w:tcW w:type="dxa" w:w="26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C2/C3 — règles de préparation</w:t>
            </w:r>
          </w:p>
        </w:tc>
        <w:tc>
          <w:tcPr>
            <w:tcW w:type="dxa" w:w="8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31</w:t>
            </w:r>
          </w:p>
        </w:tc>
        <w:tc>
          <w:tcPr>
            <w:tcW w:type="dxa" w:w="62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conversion des salaires ; cascade de médianes ; codes ROME par intitulé ; référentiel des communes ; libellés de salaire ; départements ; contrats ; pseudonymisation ; priorité France Travail</w:t>
            </w:r>
          </w:p>
        </w:tc>
      </w:tr>
      <w:tr>
        <w:tc>
          <w:tcPr>
            <w:tcW w:type="dxa" w:w="26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C4 — base de données</w:t>
            </w:r>
          </w:p>
        </w:tc>
        <w:tc>
          <w:tcPr>
            <w:tcW w:type="dxa" w:w="8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13</w:t>
            </w:r>
          </w:p>
        </w:tc>
        <w:tc>
          <w:tcPr>
            <w:tcW w:type="dxa" w:w="62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aucun salaire vide ; départements géolocalisés ; tables présentes ; intégrité référentielle ; zéro doublon ; périmètre IDF ; aucune donnée personnelle ; CHECK salaires ; ITM moyen = 100</w:t>
            </w:r>
          </w:p>
        </w:tc>
      </w:tr>
      <w:tr>
        <w:tc>
          <w:tcPr>
            <w:tcW w:type="dxa" w:w="26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C5 — API</w:t>
            </w:r>
          </w:p>
        </w:tc>
        <w:tc>
          <w:tcPr>
            <w:tcW w:type="dxa" w:w="8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9</w:t>
            </w:r>
          </w:p>
        </w:tc>
        <w:tc>
          <w:tcPr>
            <w:tcW w:type="dxa" w:w="62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/health public ; 403 sans clé ; filtres ; 422 si paramètre invalide ; pagination ; 404 ; 405 sur POST</w:t>
            </w:r>
          </w:p>
        </w:tc>
      </w:tr>
    </w:tbl>
    <w:p>
      <w:pPr>
        <w:spacing w:after="80"/>
      </w:pPr>
    </w:p>
    <w:p>
      <w:pPr>
        <w:spacing w:after="0" w:before="120"/>
      </w:pPr>
      <w:r>
        <w:rPr>
          <w:rFonts w:ascii="Consolas" w:cs="Consolas" w:eastAsia="Consolas" w:hAnsi="Consolas"/>
          <w:i/>
          <w:iCs/>
          <w:color w:val="64748B"/>
          <w:sz w:val="16"/>
          <w:szCs w:val="16"/>
        </w:rPr>
        <w:t xml:space="preserve">Extrait de l’exécution — pytest tests/ -v</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test_indicateur_moyen_vaut_100 PASSED            [ 82%]</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test_statuts_coherents_avec_seuils PASSED        [ 84%]</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test_health_public PASSED                        [ 85%]</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test_cle_api_obligatoire PASSED                  [ 87%]</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test_stats_departements_avec_coordonnees PASSED  [ 89%]</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test_offres_filtre_departement PASSED            [ 91%]</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test_parametre_invalide_422 PASSED               [ 92%]</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test_pagination PASSED                           [ 94%]</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test_metiers_tries_par_tension PASSED            [ 96%]</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test_fiche_metier_et_404 PASSED                  [ 98%]</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test_api_lecture_seule PASSED                    [100%]</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 57 passed in 3.57s ==============================</w:t>
      </w:r>
    </w:p>
    <w:p>
      <w:pPr>
        <w:pStyle w:val="Heading1"/>
        <w:pageBreakBefore/>
        <w:pBdr>
          <w:bottom w:val="single" w:color="0E4D64" w:sz="12" w:space="4"/>
        </w:pBdr>
        <w:spacing w:after="200"/>
      </w:pPr>
      <w:r>
        <w:rPr>
          <w:rFonts w:ascii="Calibri" w:cs="Calibri" w:eastAsia="Calibri" w:hAnsi="Calibri"/>
          <w:b/>
          <w:bCs/>
          <w:color w:val="0E4D64"/>
          <w:sz w:val="34"/>
          <w:szCs w:val="34"/>
        </w:rPr>
        <w:t xml:space="preserve">10. Service numérique et ouverture Machine Learning</w:t>
      </w:r>
    </w:p>
    <w:p>
      <w:pPr>
        <w:pStyle w:val="Heading2"/>
        <w:spacing w:after="120" w:before="260"/>
      </w:pPr>
      <w:r>
        <w:rPr>
          <w:rFonts w:ascii="Calibri" w:cs="Calibri" w:eastAsia="Calibri" w:hAnsi="Calibri"/>
          <w:b/>
          <w:bCs/>
          <w:color w:val="0E4D64"/>
          <w:sz w:val="26"/>
          <w:szCs w:val="26"/>
        </w:rPr>
        <w:t xml:space="preserve">Dashboard Streamlit</w:t>
      </w:r>
    </w:p>
    <w:p>
      <w:pPr>
        <w:spacing w:after="120" w:line="290"/>
      </w:pPr>
      <w:r>
        <w:rPr>
          <w:rFonts w:ascii="Calibri" w:cs="Calibri" w:eastAsia="Calibri" w:hAnsi="Calibri"/>
          <w:color w:val="1E293B"/>
          <w:sz w:val="21"/>
          <w:szCs w:val="21"/>
        </w:rPr>
        <w:t xml:space="preserve">Le dashboard (</w:t>
      </w:r>
      <w:r>
        <w:rPr>
          <w:rFonts w:ascii="Consolas" w:cs="Consolas" w:eastAsia="Consolas" w:hAnsi="Consolas"/>
          <w:color w:val="9A3412"/>
          <w:sz w:val="19"/>
          <w:szCs w:val="19"/>
        </w:rPr>
        <w:t xml:space="preserve">streamlit run webapp/app.py</w:t>
      </w:r>
      <w:r>
        <w:rPr>
          <w:rFonts w:ascii="Calibri" w:cs="Calibri" w:eastAsia="Calibri" w:hAnsi="Calibri"/>
          <w:color w:val="1E293B"/>
          <w:sz w:val="21"/>
          <w:szCs w:val="21"/>
        </w:rPr>
        <w:t xml:space="preserve">) s’adresse aux utilisateurs non techniques. Il propose six onglets avec filtres par département, contrat et secteur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Onglet</w:t>
            </w:r>
          </w:p>
        </w:tc>
        <w:tc>
          <w:tcPr>
            <w:tcW w:type="dxa" w:w="7038"/>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Contenu</w:t>
            </w:r>
          </w:p>
        </w:tc>
      </w:tr>
      <w:tr>
        <w:tc>
          <w:tcPr>
            <w:tcW w:type="dxa" w:w="26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Vue d’ensemble</w:t>
            </w:r>
          </w:p>
        </w:tc>
        <w:tc>
          <w:tcPr>
            <w:tcW w:type="dxa" w:w="70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Indicateurs clés, répartition des statuts, top 10 des métiers en tension</w:t>
            </w:r>
          </w:p>
        </w:tc>
      </w:tr>
      <w:tr>
        <w:tc>
          <w:tcPr>
            <w:tcW w:type="dxa" w:w="26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Secteurs</w:t>
            </w:r>
          </w:p>
        </w:tc>
        <w:tc>
          <w:tcPr>
            <w:tcW w:type="dxa" w:w="70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Volumes par secteur, contrats France Travail et Adzuna</w:t>
            </w:r>
          </w:p>
        </w:tc>
      </w:tr>
      <w:tr>
        <w:tc>
          <w:tcPr>
            <w:tcW w:type="dxa" w:w="26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Compétences &amp; tech</w:t>
            </w:r>
          </w:p>
        </w:tc>
        <w:tc>
          <w:tcPr>
            <w:tcW w:type="dxa" w:w="70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Compétences techniques et comportementales extraites des offres des métiers en tension</w:t>
            </w:r>
          </w:p>
        </w:tc>
      </w:tr>
      <w:tr>
        <w:tc>
          <w:tcPr>
            <w:tcW w:type="dxa" w:w="26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Formations &amp; recrutement</w:t>
            </w:r>
          </w:p>
        </w:tc>
        <w:tc>
          <w:tcPr>
            <w:tcW w:type="dxa" w:w="70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Niveaux requis, part de CDI / CDD</w:t>
            </w:r>
          </w:p>
        </w:tc>
      </w:tr>
      <w:tr>
        <w:tc>
          <w:tcPr>
            <w:tcW w:type="dxa" w:w="26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Métiers en tension</w:t>
            </w:r>
          </w:p>
        </w:tc>
        <w:tc>
          <w:tcPr>
            <w:tcW w:type="dxa" w:w="70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Statuts, carte des départements dessinée à partir du fichier GeoJSON</w:t>
            </w:r>
          </w:p>
        </w:tc>
      </w:tr>
      <w:tr>
        <w:tc>
          <w:tcPr>
            <w:tcW w:type="dxa" w:w="26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Salaires</w:t>
            </w:r>
          </w:p>
        </w:tc>
        <w:tc>
          <w:tcPr>
            <w:tcW w:type="dxa" w:w="70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Comparaison France Travail / Adzuna par métier, secteur et département</w:t>
            </w:r>
          </w:p>
        </w:tc>
      </w:tr>
    </w:tbl>
    <w:p>
      <w:pPr>
        <w:pStyle w:val="Heading2"/>
        <w:spacing w:after="120" w:before="260"/>
      </w:pPr>
      <w:r>
        <w:rPr>
          <w:rFonts w:ascii="Calibri" w:cs="Calibri" w:eastAsia="Calibri" w:hAnsi="Calibri"/>
          <w:b/>
          <w:bCs/>
          <w:color w:val="0E4D64"/>
          <w:sz w:val="26"/>
          <w:szCs w:val="26"/>
        </w:rPr>
        <w:t xml:space="preserve">Expérimentation ML : une fuite de données identifiée</w:t>
      </w:r>
    </w:p>
    <w:p>
      <w:pPr>
        <w:spacing w:after="120" w:line="290"/>
      </w:pPr>
      <w:r>
        <w:rPr>
          <w:rFonts w:ascii="Calibri" w:cs="Calibri" w:eastAsia="Calibri" w:hAnsi="Calibri"/>
          <w:color w:val="1E293B"/>
          <w:sz w:val="21"/>
          <w:szCs w:val="21"/>
        </w:rPr>
        <w:t xml:space="preserve">En V1, un Random Forest prédisait l’indice de tension avec un R² de 0,995. En analysant le calcul, j’ai constaté que l’indice est lui-même calculé à partir des variables d’entrée (nb_offres_total ÷ moyenne × 100) : le modèle retrouvait une formule, il ne prédisait rien. Le script actuel reproduit ce diagnostic (R² = 1,00 en régression linéaire), puis le corrige.</w:t>
      </w:r>
    </w:p>
    <w:p>
      <w:pPr>
        <w:spacing w:after="120" w:line="290"/>
      </w:pPr>
      <w:r>
        <w:rPr>
          <w:rFonts w:ascii="Calibri" w:cs="Calibri" w:eastAsia="Calibri" w:hAnsi="Calibri"/>
          <w:b/>
          <w:bCs/>
          <w:color w:val="1E293B"/>
          <w:sz w:val="21"/>
          <w:szCs w:val="21"/>
        </w:rPr>
        <w:t xml:space="preserve">V2</w:t>
      </w:r>
      <w:r>
        <w:rPr>
          <w:rFonts w:ascii="Calibri" w:cs="Calibri" w:eastAsia="Calibri" w:hAnsi="Calibri"/>
          <w:color w:val="1E293B"/>
          <w:sz w:val="21"/>
          <w:szCs w:val="21"/>
        </w:rPr>
        <w:t xml:space="preserve"> : classification « en tension » (indice &gt; 100) à partir du </w:t>
      </w:r>
      <w:r>
        <w:rPr>
          <w:rFonts w:ascii="Calibri" w:cs="Calibri" w:eastAsia="Calibri" w:hAnsi="Calibri"/>
          <w:b/>
          <w:bCs/>
          <w:color w:val="1E293B"/>
          <w:sz w:val="21"/>
          <w:szCs w:val="21"/>
        </w:rPr>
        <w:t xml:space="preserve">profil</w:t>
      </w:r>
      <w:r>
        <w:rPr>
          <w:rFonts w:ascii="Calibri" w:cs="Calibri" w:eastAsia="Calibri" w:hAnsi="Calibri"/>
          <w:color w:val="1E293B"/>
          <w:sz w:val="21"/>
          <w:szCs w:val="21"/>
        </w:rPr>
        <w:t xml:space="preserve"> des offres uniquement — part de CDI, CDD et intérim, salaire, part de salaires non affichés, expérience demandée, longueur des descriptions, famille ROME — sans aucune variable de volume. Les 446 métiers ayant au moins 10 offres sont évalués en validation croisée stratifiée à 5 plis. Trois modèles sont comparés ; le modèle retenu est celui qui obtient la meilleure AUC. Pour repère, un classement au hasard obtient 0,49.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2238"/>
      </w:tblGrid>
      <w:tr>
        <w:trPr>
          <w:tblHeader/>
        </w:trPr>
        <w:tc>
          <w:tcPr>
            <w:tcW w:type="dxa" w:w="3400"/>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Modèle</w:t>
            </w:r>
          </w:p>
        </w:tc>
        <w:tc>
          <w:tcPr>
            <w:tcW w:type="dxa" w:w="2000"/>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ROC-AUC</w:t>
            </w:r>
          </w:p>
        </w:tc>
        <w:tc>
          <w:tcPr>
            <w:tcW w:type="dxa" w:w="2000"/>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F1</w:t>
            </w:r>
          </w:p>
        </w:tc>
        <w:tc>
          <w:tcPr>
            <w:tcW w:type="dxa" w:w="2238"/>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Exactitude équilibrée</w:t>
            </w:r>
          </w:p>
        </w:tc>
      </w:tr>
      <w:tr>
        <w:tc>
          <w:tcPr>
            <w:tcW w:type="dxa" w:w="34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Régression logistique</w:t>
            </w:r>
          </w:p>
        </w:tc>
        <w:tc>
          <w:tcPr>
            <w:tcW w:type="dxa" w:w="2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0,58</w:t>
            </w:r>
          </w:p>
        </w:tc>
        <w:tc>
          <w:tcPr>
            <w:tcW w:type="dxa" w:w="2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0,53</w:t>
            </w:r>
          </w:p>
        </w:tc>
        <w:tc>
          <w:tcPr>
            <w:tcW w:type="dxa" w:w="22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0,55</w:t>
            </w:r>
          </w:p>
        </w:tc>
      </w:tr>
      <w:tr>
        <w:tc>
          <w:tcPr>
            <w:tcW w:type="dxa" w:w="34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Random Forest</w:t>
            </w:r>
          </w:p>
        </w:tc>
        <w:tc>
          <w:tcPr>
            <w:tcW w:type="dxa" w:w="2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0,82</w:t>
            </w:r>
          </w:p>
        </w:tc>
        <w:tc>
          <w:tcPr>
            <w:tcW w:type="dxa" w:w="2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0,74</w:t>
            </w:r>
          </w:p>
        </w:tc>
        <w:tc>
          <w:tcPr>
            <w:tcW w:type="dxa" w:w="22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0,73</w:t>
            </w:r>
          </w:p>
        </w:tc>
      </w:tr>
      <w:tr>
        <w:tc>
          <w:tcPr>
            <w:tcW w:type="dxa" w:w="34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XGBoost</w:t>
            </w:r>
          </w:p>
        </w:tc>
        <w:tc>
          <w:tcPr>
            <w:tcW w:type="dxa" w:w="2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0,84</w:t>
            </w:r>
          </w:p>
        </w:tc>
        <w:tc>
          <w:tcPr>
            <w:tcW w:type="dxa" w:w="2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0,77</w:t>
            </w:r>
          </w:p>
        </w:tc>
        <w:tc>
          <w:tcPr>
            <w:tcW w:type="dxa" w:w="22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0,75</w:t>
            </w:r>
          </w:p>
        </w:tc>
      </w:tr>
    </w:tbl>
    <w:p>
      <w:pPr>
        <w:spacing w:after="40" w:before="120"/>
        <w:jc w:val="center"/>
      </w:pPr>
      <w:r>
        <w:drawing>
          <wp:inline distT="0" distB="0" distL="0" distR="0">
            <wp:extent cx="4000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0002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8 — Comparaison des modèles (pointillés : classement au hasard)</w:t>
      </w:r>
    </w:p>
    <w:p>
      <w:pPr>
        <w:spacing w:after="120" w:line="290"/>
      </w:pPr>
      <w:r>
        <w:rPr>
          <w:rFonts w:ascii="Calibri" w:cs="Calibri" w:eastAsia="Calibri" w:hAnsi="Calibri"/>
          <w:color w:val="1E293B"/>
          <w:sz w:val="21"/>
          <w:szCs w:val="21"/>
        </w:rPr>
        <w:t xml:space="preserve">XGBoost est retenu (AUC 0,84, F1 0,77) : le profil des offres contient un signal réel. Les variables les plus explicatives sont la longueur des descriptions, la famille de métiers (commerce, logistique, services à la personne), la part de temps partiel, d’intérim et de CDD : les métiers en tension recrutent davantage sur des contrats courts et publient des annonces plus courtes. Cette partie ne relève pas du bloc BC01 ; elle ouvre sur le bloc suivant.</w:t>
      </w:r>
    </w:p>
    <w:p>
      <w:pPr>
        <w:pStyle w:val="Heading1"/>
        <w:pageBreakBefore/>
        <w:pBdr>
          <w:bottom w:val="single" w:color="0E4D64" w:sz="12" w:space="4"/>
        </w:pBdr>
        <w:spacing w:after="200"/>
      </w:pPr>
      <w:r>
        <w:rPr>
          <w:rFonts w:ascii="Calibri" w:cs="Calibri" w:eastAsia="Calibri" w:hAnsi="Calibri"/>
          <w:b/>
          <w:bCs/>
          <w:color w:val="0E4D64"/>
          <w:sz w:val="34"/>
          <w:szCs w:val="34"/>
        </w:rPr>
        <w:t xml:space="preserve">11. Bilan et perspectives</w:t>
      </w:r>
    </w:p>
    <w:p>
      <w:pPr>
        <w:pStyle w:val="Heading2"/>
        <w:spacing w:after="120" w:before="260"/>
      </w:pPr>
      <w:r>
        <w:rPr>
          <w:rFonts w:ascii="Calibri" w:cs="Calibri" w:eastAsia="Calibri" w:hAnsi="Calibri"/>
          <w:b/>
          <w:bCs/>
          <w:color w:val="0E4D64"/>
          <w:sz w:val="26"/>
          <w:szCs w:val="26"/>
        </w:rPr>
        <w:t xml:space="preserve">Correspondance avec le référentiel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138"/>
      </w:tblGrid>
      <w:tr>
        <w:trPr>
          <w:tblHeader/>
        </w:trPr>
        <w:tc>
          <w:tcPr>
            <w:tcW w:type="dxa" w:w="2500"/>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Compétence</w:t>
            </w:r>
          </w:p>
        </w:tc>
        <w:tc>
          <w:tcPr>
            <w:tcW w:type="dxa" w:w="3000"/>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Livrables</w:t>
            </w:r>
          </w:p>
        </w:tc>
        <w:tc>
          <w:tcPr>
            <w:tcW w:type="dxa" w:w="4138"/>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Preuves</w:t>
            </w:r>
          </w:p>
        </w:tc>
      </w:tr>
      <w:tr>
        <w:tc>
          <w:tcPr>
            <w:tcW w:type="dxa" w:w="25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C1 — Collecte automatisée</w:t>
            </w:r>
          </w:p>
        </w:tc>
        <w:tc>
          <w:tcPr>
            <w:tcW w:type="dxa" w:w="3000"/>
            <w:tcMar>
              <w:top w:type="dxa" w:w="70"/>
              <w:left w:type="dxa" w:w="100"/>
              <w:bottom w:type="dxa" w:w="70"/>
              <w:right w:type="dxa" w:w="100"/>
            </w:tcMar>
          </w:tcPr>
          <w:p>
            <w:pPr>
              <w:spacing w:after="0" w:line="260"/>
            </w:pPr>
            <w:r>
              <w:rPr>
                <w:rFonts w:ascii="Consolas" w:cs="Consolas" w:eastAsia="Consolas" w:hAnsi="Consolas"/>
                <w:color w:val="9A3412"/>
                <w:sz w:val="19"/>
                <w:szCs w:val="19"/>
              </w:rPr>
              <w:t xml:space="preserve">src/collect.py</w:t>
            </w:r>
          </w:p>
        </w:tc>
        <w:tc>
          <w:tcPr>
            <w:tcW w:type="dxa" w:w="41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2 API (OAuth2, clé) + 2 fichiers de référence (contours, communes) réutilisés en base, dans l’API et sur la carte ; pagination ; reprise ; journaux ; 4 tests</w:t>
            </w:r>
          </w:p>
        </w:tc>
      </w:tr>
      <w:tr>
        <w:tc>
          <w:tcPr>
            <w:tcW w:type="dxa" w:w="25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C2 — Préparation</w:t>
            </w:r>
          </w:p>
        </w:tc>
        <w:tc>
          <w:tcPr>
            <w:tcW w:type="dxa" w:w="3000"/>
            <w:shd w:fill="F8FAFC" w:color="auto" w:val="clear"/>
            <w:tcMar>
              <w:top w:type="dxa" w:w="70"/>
              <w:left w:type="dxa" w:w="100"/>
              <w:bottom w:type="dxa" w:w="70"/>
              <w:right w:type="dxa" w:w="100"/>
            </w:tcMar>
          </w:tcPr>
          <w:p>
            <w:pPr>
              <w:spacing w:after="0" w:line="260"/>
            </w:pPr>
            <w:r>
              <w:rPr>
                <w:rFonts w:ascii="Consolas" w:cs="Consolas" w:eastAsia="Consolas" w:hAnsi="Consolas"/>
                <w:color w:val="9A3412"/>
                <w:sz w:val="19"/>
                <w:szCs w:val="19"/>
              </w:rPr>
              <w:t xml:space="preserve">src/prepare.py</w:t>
            </w:r>
          </w:p>
        </w:tc>
        <w:tc>
          <w:tcPr>
            <w:tcW w:type="dxa" w:w="41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10 problèmes traités (méthodes V1 et V2 comparées), cascade de médianes pour les salaires ; schéma commun ; RGPD ; tests unitaires</w:t>
            </w:r>
          </w:p>
        </w:tc>
      </w:tr>
      <w:tr>
        <w:tc>
          <w:tcPr>
            <w:tcW w:type="dxa" w:w="25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C3 — Agrégation</w:t>
            </w:r>
          </w:p>
        </w:tc>
        <w:tc>
          <w:tcPr>
            <w:tcW w:type="dxa" w:w="3000"/>
            <w:tcMar>
              <w:top w:type="dxa" w:w="70"/>
              <w:left w:type="dxa" w:w="100"/>
              <w:bottom w:type="dxa" w:w="70"/>
              <w:right w:type="dxa" w:w="100"/>
            </w:tcMar>
          </w:tcPr>
          <w:p>
            <w:pPr>
              <w:spacing w:after="0" w:line="260"/>
            </w:pPr>
            <w:r>
              <w:rPr>
                <w:rFonts w:ascii="Consolas" w:cs="Consolas" w:eastAsia="Consolas" w:hAnsi="Consolas"/>
                <w:color w:val="9A3412"/>
                <w:sz w:val="19"/>
                <w:szCs w:val="19"/>
              </w:rPr>
              <w:t xml:space="preserve">SQL_INDICATEURS</w:t>
            </w:r>
            <w:r>
              <w:rPr>
                <w:rFonts w:ascii="Calibri" w:cs="Calibri" w:eastAsia="Calibri" w:hAnsi="Calibri"/>
                <w:color w:val="1E293B"/>
                <w:sz w:val="21"/>
                <w:szCs w:val="21"/>
              </w:rPr>
              <w:t xml:space="preserve"> (store.py)</w:t>
            </w:r>
          </w:p>
        </w:tc>
        <w:tc>
          <w:tcPr>
            <w:tcW w:type="dxa" w:w="41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8 indicateurs par métier : SQL (GROUP BY, fonction fenêtre) + salaire médian</w:t>
            </w:r>
          </w:p>
        </w:tc>
      </w:tr>
      <w:tr>
        <w:tc>
          <w:tcPr>
            <w:tcW w:type="dxa" w:w="25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C4 — Base de données</w:t>
            </w:r>
          </w:p>
        </w:tc>
        <w:tc>
          <w:tcPr>
            <w:tcW w:type="dxa" w:w="3000"/>
            <w:shd w:fill="F8FAFC" w:color="auto" w:val="clear"/>
            <w:tcMar>
              <w:top w:type="dxa" w:w="70"/>
              <w:left w:type="dxa" w:w="100"/>
              <w:bottom w:type="dxa" w:w="70"/>
              <w:right w:type="dxa" w:w="100"/>
            </w:tcMar>
          </w:tcPr>
          <w:p>
            <w:pPr>
              <w:spacing w:after="0" w:line="260"/>
            </w:pPr>
            <w:r>
              <w:rPr>
                <w:rFonts w:ascii="Consolas" w:cs="Consolas" w:eastAsia="Consolas" w:hAnsi="Consolas"/>
                <w:color w:val="9A3412"/>
                <w:sz w:val="19"/>
                <w:szCs w:val="19"/>
              </w:rPr>
              <w:t xml:space="preserve">src/store.py</w:t>
            </w:r>
            <w:r>
              <w:rPr>
                <w:rFonts w:ascii="Calibri" w:cs="Calibri" w:eastAsia="Calibri" w:hAnsi="Calibri"/>
                <w:color w:val="1E293B"/>
                <w:sz w:val="21"/>
                <w:szCs w:val="21"/>
              </w:rPr>
              <w:t xml:space="preserve">, </w:t>
            </w:r>
            <w:r>
              <w:rPr>
                <w:rFonts w:ascii="Consolas" w:cs="Consolas" w:eastAsia="Consolas" w:hAnsi="Consolas"/>
                <w:color w:val="9A3412"/>
                <w:sz w:val="19"/>
                <w:szCs w:val="19"/>
              </w:rPr>
              <w:t xml:space="preserve">data/ppmt.db</w:t>
            </w:r>
            <w:r>
              <w:rPr>
                <w:rFonts w:ascii="Calibri" w:cs="Calibri" w:eastAsia="Calibri" w:hAnsi="Calibri"/>
                <w:color w:val="1E293B"/>
                <w:sz w:val="21"/>
                <w:szCs w:val="21"/>
              </w:rPr>
              <w:t xml:space="preserve">, </w:t>
            </w:r>
            <w:r>
              <w:rPr>
                <w:rFonts w:ascii="Consolas" w:cs="Consolas" w:eastAsia="Consolas" w:hAnsi="Consolas"/>
                <w:color w:val="9A3412"/>
                <w:sz w:val="19"/>
                <w:szCs w:val="19"/>
              </w:rPr>
              <w:t xml:space="preserve">docs/rgpd.md</w:t>
            </w:r>
          </w:p>
        </w:tc>
        <w:tc>
          <w:tcPr>
            <w:tcW w:type="dxa" w:w="41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MPD 4 tables, FK, CHECK, UNIQUE, index ; registre RGPD ; purge</w:t>
            </w:r>
          </w:p>
        </w:tc>
      </w:tr>
      <w:tr>
        <w:tc>
          <w:tcPr>
            <w:tcW w:type="dxa" w:w="25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C5 — API</w:t>
            </w:r>
          </w:p>
        </w:tc>
        <w:tc>
          <w:tcPr>
            <w:tcW w:type="dxa" w:w="3000"/>
            <w:tcMar>
              <w:top w:type="dxa" w:w="70"/>
              <w:left w:type="dxa" w:w="100"/>
              <w:bottom w:type="dxa" w:w="70"/>
              <w:right w:type="dxa" w:w="100"/>
            </w:tcMar>
          </w:tcPr>
          <w:p>
            <w:pPr>
              <w:spacing w:after="0" w:line="260"/>
            </w:pPr>
            <w:r>
              <w:rPr>
                <w:rFonts w:ascii="Consolas" w:cs="Consolas" w:eastAsia="Consolas" w:hAnsi="Consolas"/>
                <w:color w:val="9A3412"/>
                <w:sz w:val="19"/>
                <w:szCs w:val="19"/>
              </w:rPr>
              <w:t xml:space="preserve">api/main.py</w:t>
            </w:r>
            <w:r>
              <w:rPr>
                <w:rFonts w:ascii="Calibri" w:cs="Calibri" w:eastAsia="Calibri" w:hAnsi="Calibri"/>
                <w:color w:val="1E293B"/>
                <w:sz w:val="21"/>
                <w:szCs w:val="21"/>
              </w:rPr>
              <w:t xml:space="preserve">, </w:t>
            </w:r>
            <w:r>
              <w:rPr>
                <w:rFonts w:ascii="Consolas" w:cs="Consolas" w:eastAsia="Consolas" w:hAnsi="Consolas"/>
                <w:color w:val="9A3412"/>
                <w:sz w:val="19"/>
                <w:szCs w:val="19"/>
              </w:rPr>
              <w:t xml:space="preserve">Dockerfile</w:t>
            </w:r>
          </w:p>
        </w:tc>
        <w:tc>
          <w:tcPr>
            <w:tcW w:type="dxa" w:w="41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7 endpoints, clé API, Swagger, validation, tests 403/404/405/422</w:t>
            </w:r>
          </w:p>
        </w:tc>
      </w:tr>
    </w:tbl>
    <w:p>
      <w:pPr>
        <w:pStyle w:val="Heading2"/>
        <w:spacing w:after="120" w:before="260"/>
      </w:pPr>
      <w:r>
        <w:rPr>
          <w:rFonts w:ascii="Calibri" w:cs="Calibri" w:eastAsia="Calibri" w:hAnsi="Calibri"/>
          <w:b/>
          <w:bCs/>
          <w:color w:val="0E4D64"/>
          <w:sz w:val="26"/>
          <w:szCs w:val="26"/>
        </w:rPr>
        <w:t xml:space="preserve">Chiffres clés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0"/>
        <w:gridCol w:w="5138"/>
      </w:tblGrid>
      <w:tr>
        <w:trPr>
          <w:tblHeader/>
        </w:trPr>
        <w:tc>
          <w:tcPr>
            <w:tcW w:type="dxa" w:w="4500"/>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Indicateur</w:t>
            </w:r>
          </w:p>
        </w:tc>
        <w:tc>
          <w:tcPr>
            <w:tcW w:type="dxa" w:w="5138"/>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Valeur</w:t>
            </w:r>
          </w:p>
        </w:tc>
      </w:tr>
      <w:tr>
        <w:tc>
          <w:tcPr>
            <w:tcW w:type="dxa" w:w="45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Offres en base</w:t>
            </w:r>
          </w:p>
        </w:tc>
        <w:tc>
          <w:tcPr>
            <w:tcW w:type="dxa" w:w="51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28 219 (France Travail 23 691 · Adzuna 4 528)</w:t>
            </w:r>
          </w:p>
        </w:tc>
      </w:tr>
      <w:tr>
        <w:tc>
          <w:tcPr>
            <w:tcW w:type="dxa" w:w="45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Métiers ROME couverts</w:t>
            </w:r>
          </w:p>
        </w:tc>
        <w:tc>
          <w:tcPr>
            <w:tcW w:type="dxa" w:w="51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1 100</w:t>
            </w:r>
          </w:p>
        </w:tc>
      </w:tr>
      <w:tr>
        <w:tc>
          <w:tcPr>
            <w:tcW w:type="dxa" w:w="45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Métiers « très en tension »</w:t>
            </w:r>
          </w:p>
        </w:tc>
        <w:tc>
          <w:tcPr>
            <w:tcW w:type="dxa" w:w="51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185</w:t>
            </w:r>
          </w:p>
        </w:tc>
      </w:tr>
      <w:tr>
        <w:tc>
          <w:tcPr>
            <w:tcW w:type="dxa" w:w="45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Départements</w:t>
            </w:r>
          </w:p>
        </w:tc>
        <w:tc>
          <w:tcPr>
            <w:tcW w:type="dxa" w:w="51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8</w:t>
            </w:r>
          </w:p>
        </w:tc>
      </w:tr>
      <w:tr>
        <w:tc>
          <w:tcPr>
            <w:tcW w:type="dxa" w:w="45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Tests automatisés</w:t>
            </w:r>
          </w:p>
        </w:tc>
        <w:tc>
          <w:tcPr>
            <w:tcW w:type="dxa" w:w="51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57 (100 % réussis)</w:t>
            </w:r>
          </w:p>
        </w:tc>
      </w:tr>
      <w:tr>
        <w:tc>
          <w:tcPr>
            <w:tcW w:type="dxa" w:w="45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Durée d’exécution du pipeline (hors collecte)</w:t>
            </w:r>
          </w:p>
        </w:tc>
        <w:tc>
          <w:tcPr>
            <w:tcW w:type="dxa" w:w="51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 5 secondes</w:t>
            </w:r>
          </w:p>
        </w:tc>
      </w:tr>
    </w:tbl>
    <w:p>
      <w:pPr>
        <w:pStyle w:val="Heading2"/>
        <w:spacing w:after="120" w:before="260"/>
      </w:pPr>
      <w:r>
        <w:rPr>
          <w:rFonts w:ascii="Calibri" w:cs="Calibri" w:eastAsia="Calibri" w:hAnsi="Calibri"/>
          <w:b/>
          <w:bCs/>
          <w:color w:val="0E4D64"/>
          <w:sz w:val="26"/>
          <w:szCs w:val="26"/>
        </w:rPr>
        <w:t xml:space="preserve">Limites</w:t>
      </w:r>
    </w:p>
    <w:p>
      <w:pPr>
        <w:pStyle w:val="ListParagraph"/>
        <w:numPr>
          <w:ilvl w:val="0"/>
          <w:numId w:val="2"/>
        </w:numPr>
        <w:spacing w:after="60" w:line="280"/>
      </w:pPr>
      <w:r>
        <w:rPr>
          <w:rFonts w:ascii="Calibri" w:cs="Calibri" w:eastAsia="Calibri" w:hAnsi="Calibri"/>
          <w:color w:val="1E293B"/>
          <w:sz w:val="21"/>
          <w:szCs w:val="21"/>
        </w:rPr>
        <w:t xml:space="preserve">L’indice de tension ne mesure que la demande des employeurs ; il manque le nombre de demandeurs d’emploi par métier.</w:t>
      </w:r>
    </w:p>
    <w:p>
      <w:pPr>
        <w:pStyle w:val="ListParagraph"/>
        <w:numPr>
          <w:ilvl w:val="0"/>
          <w:numId w:val="2"/>
        </w:numPr>
        <w:spacing w:after="60" w:line="280"/>
      </w:pPr>
      <w:r>
        <w:rPr>
          <w:rFonts w:ascii="Calibri" w:cs="Calibri" w:eastAsia="Calibri" w:hAnsi="Calibri"/>
          <w:color w:val="1E293B"/>
          <w:sz w:val="21"/>
          <w:szCs w:val="21"/>
        </w:rPr>
        <w:t xml:space="preserve">La correspondance catégorie Adzuna → ROME est grossière (19 codes) : elle surreprésente certains métiers (ex. développeur, M1805).</w:t>
      </w:r>
    </w:p>
    <w:p>
      <w:pPr>
        <w:pStyle w:val="ListParagraph"/>
        <w:numPr>
          <w:ilvl w:val="0"/>
          <w:numId w:val="2"/>
        </w:numPr>
        <w:spacing w:after="60" w:line="280"/>
      </w:pPr>
      <w:r>
        <w:rPr>
          <w:rFonts w:ascii="Calibri" w:cs="Calibri" w:eastAsia="Calibri" w:hAnsi="Calibri"/>
          <w:color w:val="1E293B"/>
          <w:sz w:val="21"/>
          <w:szCs w:val="21"/>
        </w:rPr>
        <w:t xml:space="preserve">Une seule collecte (mai 2026) : pas encore de série temporelle.</w:t>
      </w:r>
    </w:p>
    <w:p>
      <w:pPr>
        <w:pStyle w:val="Heading2"/>
        <w:spacing w:after="120" w:before="260"/>
      </w:pPr>
      <w:r>
        <w:rPr>
          <w:rFonts w:ascii="Calibri" w:cs="Calibri" w:eastAsia="Calibri" w:hAnsi="Calibri"/>
          <w:b/>
          <w:bCs/>
          <w:color w:val="0E4D64"/>
          <w:sz w:val="26"/>
          <w:szCs w:val="26"/>
        </w:rPr>
        <w:t xml:space="preserve">Perspectives</w:t>
      </w:r>
    </w:p>
    <w:p>
      <w:pPr>
        <w:pStyle w:val="ListParagraph"/>
        <w:numPr>
          <w:ilvl w:val="0"/>
          <w:numId w:val="2"/>
        </w:numPr>
        <w:spacing w:after="60" w:line="280"/>
      </w:pPr>
      <w:r>
        <w:rPr>
          <w:rFonts w:ascii="Calibri" w:cs="Calibri" w:eastAsia="Calibri" w:hAnsi="Calibri"/>
          <w:b/>
          <w:bCs/>
          <w:color w:val="1E293B"/>
          <w:sz w:val="21"/>
          <w:szCs w:val="21"/>
        </w:rPr>
        <w:t xml:space="preserve">Offre / demande</w:t>
      </w:r>
      <w:r>
        <w:rPr>
          <w:rFonts w:ascii="Calibri" w:cs="Calibri" w:eastAsia="Calibri" w:hAnsi="Calibri"/>
          <w:color w:val="1E293B"/>
          <w:sz w:val="21"/>
          <w:szCs w:val="21"/>
        </w:rPr>
        <w:t xml:space="preserve"> : intégrer les demandeurs d’emploi par code ROME (statistiques France Travail / DARES) pour calculer un vrai ratio de tension.</w:t>
      </w:r>
    </w:p>
    <w:p>
      <w:pPr>
        <w:pStyle w:val="ListParagraph"/>
        <w:numPr>
          <w:ilvl w:val="0"/>
          <w:numId w:val="2"/>
        </w:numPr>
        <w:spacing w:after="60" w:line="280"/>
      </w:pPr>
      <w:r>
        <w:rPr>
          <w:rFonts w:ascii="Calibri" w:cs="Calibri" w:eastAsia="Calibri" w:hAnsi="Calibri"/>
          <w:b/>
          <w:bCs/>
          <w:color w:val="1E293B"/>
          <w:sz w:val="21"/>
          <w:szCs w:val="21"/>
        </w:rPr>
        <w:t xml:space="preserve">Historisation</w:t>
      </w:r>
      <w:r>
        <w:rPr>
          <w:rFonts w:ascii="Calibri" w:cs="Calibri" w:eastAsia="Calibri" w:hAnsi="Calibri"/>
          <w:color w:val="1E293B"/>
          <w:sz w:val="21"/>
          <w:szCs w:val="21"/>
        </w:rPr>
        <w:t xml:space="preserve"> : conserver un instantané quotidien des indicateurs pour prévoir la tension à 3 mois (modèles de séries temporelles).</w:t>
      </w:r>
    </w:p>
    <w:p>
      <w:pPr>
        <w:pStyle w:val="ListParagraph"/>
        <w:numPr>
          <w:ilvl w:val="0"/>
          <w:numId w:val="2"/>
        </w:numPr>
        <w:spacing w:after="60" w:line="280"/>
      </w:pPr>
      <w:r>
        <w:rPr>
          <w:rFonts w:ascii="Calibri" w:cs="Calibri" w:eastAsia="Calibri" w:hAnsi="Calibri"/>
          <w:b/>
          <w:bCs/>
          <w:color w:val="1E293B"/>
          <w:sz w:val="21"/>
          <w:szCs w:val="21"/>
        </w:rPr>
        <w:t xml:space="preserve">Déploiement</w:t>
      </w:r>
      <w:r>
        <w:rPr>
          <w:rFonts w:ascii="Calibri" w:cs="Calibri" w:eastAsia="Calibri" w:hAnsi="Calibri"/>
          <w:color w:val="1E293B"/>
          <w:sz w:val="21"/>
          <w:szCs w:val="21"/>
        </w:rPr>
        <w:t xml:space="preserve"> : publier l’API sur Google Cloud Run et le dashboard sur Streamlit Cloud ; orchestration par Airflow.</w:t>
      </w:r>
    </w:p>
    <w:p>
      <w:pPr>
        <w:pStyle w:val="ListParagraph"/>
        <w:numPr>
          <w:ilvl w:val="0"/>
          <w:numId w:val="2"/>
        </w:numPr>
        <w:spacing w:after="60" w:line="280"/>
      </w:pPr>
      <w:r>
        <w:rPr>
          <w:rFonts w:ascii="Calibri" w:cs="Calibri" w:eastAsia="Calibri" w:hAnsi="Calibri"/>
          <w:b/>
          <w:bCs/>
          <w:color w:val="1E293B"/>
          <w:sz w:val="21"/>
          <w:szCs w:val="21"/>
        </w:rPr>
        <w:t xml:space="preserve">Passage à l’échelle</w:t>
      </w:r>
      <w:r>
        <w:rPr>
          <w:rFonts w:ascii="Calibri" w:cs="Calibri" w:eastAsia="Calibri" w:hAnsi="Calibri"/>
          <w:color w:val="1E293B"/>
          <w:sz w:val="21"/>
          <w:szCs w:val="21"/>
        </w:rPr>
        <w:t xml:space="preserve"> : extension aux autres régions, migration vers PostgreSQL.</w:t>
      </w:r>
    </w:p>
    <w:p>
      <w:pPr>
        <w:pStyle w:val="Heading1"/>
        <w:pageBreakBefore/>
        <w:pBdr>
          <w:bottom w:val="single" w:color="0E4D64" w:sz="12" w:space="4"/>
        </w:pBdr>
        <w:spacing w:after="200"/>
      </w:pPr>
      <w:r>
        <w:rPr>
          <w:rFonts w:ascii="Calibri" w:cs="Calibri" w:eastAsia="Calibri" w:hAnsi="Calibri"/>
          <w:b/>
          <w:bCs/>
          <w:color w:val="0E4D64"/>
          <w:sz w:val="34"/>
          <w:szCs w:val="34"/>
        </w:rPr>
        <w:t xml:space="preserve">Annexes</w:t>
      </w:r>
    </w:p>
    <w:p>
      <w:pPr>
        <w:pStyle w:val="Heading2"/>
        <w:spacing w:after="120" w:before="260"/>
      </w:pPr>
      <w:r>
        <w:rPr>
          <w:rFonts w:ascii="Calibri" w:cs="Calibri" w:eastAsia="Calibri" w:hAnsi="Calibri"/>
          <w:b/>
          <w:bCs/>
          <w:color w:val="0E4D64"/>
          <w:sz w:val="26"/>
          <w:szCs w:val="26"/>
        </w:rPr>
        <w:t xml:space="preserve">A — Lancement rapide</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git clone https://github.com/Clairelucie/PPMT.git &amp;&amp; cd PPMT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pip install -r requirements.txt</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cp .env.example .env                 # renseigner les identifiants France Travail et Adzuna</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python run_pipeline.py --collect     # C1 → C4  (sans --collect : repart des CSV versionnés)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pytest tests/ -v                     # 57 tests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uvicorn api.main:app --reload        # API    → http://localhost:8000/docs</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streamlit run webapp/app.py          # dashboard → http://localhost:8501</w:t>
      </w:r>
    </w:p>
    <w:p>
      <w:pPr>
        <w:pStyle w:val="Heading2"/>
        <w:spacing w:after="120" w:before="260"/>
      </w:pPr>
      <w:r>
        <w:rPr>
          <w:rFonts w:ascii="Calibri" w:cs="Calibri" w:eastAsia="Calibri" w:hAnsi="Calibri"/>
          <w:b/>
          <w:bCs/>
          <w:color w:val="0E4D64"/>
          <w:sz w:val="26"/>
          <w:szCs w:val="26"/>
        </w:rPr>
        <w:t xml:space="preserve">B — Dépendances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PPMT — dépendances (RNCP37827BC01 — Artefact 2026)</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Collecte &amp; préparation (C1 → C3)</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pandas&gt;=2.0</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numpy&gt;=1.23</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requests&gt;=2.28</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python-dotenv&gt;=0.21</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API (C5)</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fastapi&gt;=0.110</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uvicorn[standard]&gt;=0.29</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pydantic&gt;=2.5</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Tests</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pytest&gt;=8.0</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httpx&gt;=0.27</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Machine Learning (expérimentation)</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scikit-learn&gt;=1.3</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xgboost&gt;=1.7</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joblib&gt;=1.2</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 Dashboard</w:t>
      </w:r>
    </w:p>
    <w:p>
      <w:pPr>
        <w:pBdr>
          <w:left w:val="single" w:color="0E4D64" w:sz="18" w:space="6"/>
        </w:pBdr>
        <w:shd w:fill="F8FAFC" w:color="auto" w:val="clear"/>
        <w:spacing w:after="0" w:line="240"/>
        <w:ind w:left="120"/>
      </w:pPr>
      <w:r>
        <w:rPr>
          <w:rFonts w:ascii="Consolas" w:cs="Consolas" w:eastAsia="Consolas" w:hAnsi="Consolas"/>
          <w:color w:val="0F172A"/>
          <w:sz w:val="16"/>
          <w:szCs w:val="16"/>
        </w:rPr>
        <w:t xml:space="preserve">streamlit&gt;=1.30</w:t>
      </w:r>
    </w:p>
    <w:p>
      <w:pPr>
        <w:pBdr>
          <w:left w:val="single" w:color="0E4D64" w:sz="18" w:space="6"/>
        </w:pBdr>
        <w:shd w:fill="F8FAFC" w:color="auto" w:val="clear"/>
        <w:spacing w:after="160" w:line="240"/>
        <w:ind w:left="120"/>
      </w:pPr>
      <w:r>
        <w:rPr>
          <w:rFonts w:ascii="Consolas" w:cs="Consolas" w:eastAsia="Consolas" w:hAnsi="Consolas"/>
          <w:color w:val="0F172A"/>
          <w:sz w:val="16"/>
          <w:szCs w:val="16"/>
        </w:rPr>
        <w:t xml:space="preserve">plotly&gt;=5.10</w:t>
      </w:r>
    </w:p>
    <w:p>
      <w:pPr>
        <w:pStyle w:val="Heading2"/>
        <w:spacing w:after="120" w:before="260"/>
      </w:pPr>
      <w:r>
        <w:rPr>
          <w:rFonts w:ascii="Calibri" w:cs="Calibri" w:eastAsia="Calibri" w:hAnsi="Calibri"/>
          <w:b/>
          <w:bCs/>
          <w:color w:val="0E4D64"/>
          <w:sz w:val="26"/>
          <w:szCs w:val="26"/>
        </w:rPr>
        <w:t xml:space="preserve">C — Clé API de démonstration</w:t>
      </w:r>
    </w:p>
    <w:p>
      <w:pPr>
        <w:spacing w:after="120" w:line="290"/>
      </w:pPr>
      <w:r>
        <w:rPr>
          <w:rFonts w:ascii="Calibri" w:cs="Calibri" w:eastAsia="Calibri" w:hAnsi="Calibri"/>
          <w:color w:val="1E293B"/>
          <w:sz w:val="21"/>
          <w:szCs w:val="21"/>
        </w:rPr>
        <w:t xml:space="preserve">Clé utilisée pour la démonstration devant le jury : </w:t>
      </w:r>
      <w:r>
        <w:rPr>
          <w:rFonts w:ascii="Consolas" w:cs="Consolas" w:eastAsia="Consolas" w:hAnsi="Consolas"/>
          <w:color w:val="9A3412"/>
          <w:sz w:val="19"/>
          <w:szCs w:val="19"/>
        </w:rPr>
        <w:t xml:space="preserve">ppmt-demo-2026</w:t>
      </w:r>
      <w:r>
        <w:rPr>
          <w:rFonts w:ascii="Calibri" w:cs="Calibri" w:eastAsia="Calibri" w:hAnsi="Calibri"/>
          <w:color w:val="1E293B"/>
          <w:sz w:val="21"/>
          <w:szCs w:val="21"/>
        </w:rPr>
        <w:t xml:space="preserve">. En production, la clé est fournie par la variable d’environnement </w:t>
      </w:r>
      <w:r>
        <w:rPr>
          <w:rFonts w:ascii="Consolas" w:cs="Consolas" w:eastAsia="Consolas" w:hAnsi="Consolas"/>
          <w:color w:val="9A3412"/>
          <w:sz w:val="19"/>
          <w:szCs w:val="19"/>
        </w:rPr>
        <w:t xml:space="preserve">PPMT_API_KEY</w:t>
      </w:r>
      <w:r>
        <w:rPr>
          <w:rFonts w:ascii="Calibri" w:cs="Calibri" w:eastAsia="Calibri" w:hAnsi="Calibri"/>
          <w:color w:val="1E293B"/>
          <w:sz w:val="21"/>
          <w:szCs w:val="21"/>
        </w:rPr>
        <w:t xml:space="preserve"> et n’apparaît pas dans le code.</w:t>
      </w:r>
    </w:p>
    <w:p>
      <w:pPr>
        <w:pStyle w:val="Heading2"/>
        <w:spacing w:after="120" w:before="260"/>
      </w:pPr>
      <w:r>
        <w:rPr>
          <w:rFonts w:ascii="Calibri" w:cs="Calibri" w:eastAsia="Calibri" w:hAnsi="Calibri"/>
          <w:b/>
          <w:bCs/>
          <w:color w:val="0E4D64"/>
          <w:sz w:val="26"/>
          <w:szCs w:val="26"/>
        </w:rPr>
        <w:t xml:space="preserve">D —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Terme</w:t>
            </w:r>
          </w:p>
        </w:tc>
        <w:tc>
          <w:tcPr>
            <w:tcW w:type="dxa" w:w="7638"/>
            <w:shd w:fill="0E4D64" w:color="auto" w:val="clear"/>
            <w:tcMar>
              <w:top w:type="dxa" w:w="70"/>
              <w:left w:type="dxa" w:w="100"/>
              <w:bottom w:type="dxa" w:w="70"/>
              <w:right w:type="dxa" w:w="100"/>
            </w:tcMar>
          </w:tcPr>
          <w:p>
            <w:pPr>
              <w:spacing w:after="0" w:line="260"/>
            </w:pPr>
            <w:r>
              <w:rPr>
                <w:rFonts w:ascii="Calibri" w:cs="Calibri" w:eastAsia="Calibri" w:hAnsi="Calibri"/>
                <w:b/>
                <w:bCs/>
                <w:color w:val="FFFFFF"/>
                <w:sz w:val="19"/>
                <w:szCs w:val="19"/>
              </w:rPr>
              <w:t xml:space="preserve">Définition</w:t>
            </w:r>
          </w:p>
        </w:tc>
      </w:tr>
      <w:tr>
        <w:tc>
          <w:tcPr>
            <w:tcW w:type="dxa" w:w="2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ROME</w:t>
            </w:r>
          </w:p>
        </w:tc>
        <w:tc>
          <w:tcPr>
            <w:tcW w:type="dxa" w:w="76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Répertoire Opérationnel des Métiers et des Emplois (France Travail) — un code par métier, ex. J1502</w:t>
            </w:r>
          </w:p>
        </w:tc>
      </w:tr>
      <w:tr>
        <w:tc>
          <w:tcPr>
            <w:tcW w:type="dxa" w:w="2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ITM</w:t>
            </w:r>
          </w:p>
        </w:tc>
        <w:tc>
          <w:tcPr>
            <w:tcW w:type="dxa" w:w="76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Indice de tension PPMT : volume d’offres d’un métier rapporté au métier moyen (× 100)</w:t>
            </w:r>
          </w:p>
        </w:tc>
      </w:tr>
      <w:tr>
        <w:tc>
          <w:tcPr>
            <w:tcW w:type="dxa" w:w="2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BMO</w:t>
            </w:r>
          </w:p>
        </w:tc>
        <w:tc>
          <w:tcPr>
            <w:tcW w:type="dxa" w:w="76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Enquête Besoins en Main-d’Œuvre de France Travail</w:t>
            </w:r>
          </w:p>
        </w:tc>
      </w:tr>
      <w:tr>
        <w:tc>
          <w:tcPr>
            <w:tcW w:type="dxa" w:w="2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DARES</w:t>
            </w:r>
          </w:p>
        </w:tc>
        <w:tc>
          <w:tcPr>
            <w:tcW w:type="dxa" w:w="76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Direction de l’animation de la recherche, des études et des statistiques (ministère du Travail)</w:t>
            </w:r>
          </w:p>
        </w:tc>
      </w:tr>
      <w:tr>
        <w:tc>
          <w:tcPr>
            <w:tcW w:type="dxa" w:w="2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OAuth2</w:t>
            </w:r>
          </w:p>
        </w:tc>
        <w:tc>
          <w:tcPr>
            <w:tcW w:type="dxa" w:w="76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Protocole d’autorisation ; ici, flux « client credentials » entre applications</w:t>
            </w:r>
          </w:p>
        </w:tc>
      </w:tr>
      <w:tr>
        <w:tc>
          <w:tcPr>
            <w:tcW w:type="dxa" w:w="2000"/>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Fuite de données</w:t>
            </w:r>
          </w:p>
        </w:tc>
        <w:tc>
          <w:tcPr>
            <w:tcW w:type="dxa" w:w="7638"/>
            <w:shd w:fill="F8FAFC" w:color="auto" w:val="clear"/>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Information sur la cible présente dans les variables d’entrée, qui rend un score artificiellement élevé</w:t>
            </w:r>
          </w:p>
        </w:tc>
      </w:tr>
      <w:tr>
        <w:tc>
          <w:tcPr>
            <w:tcW w:type="dxa" w:w="2000"/>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RGPD</w:t>
            </w:r>
          </w:p>
        </w:tc>
        <w:tc>
          <w:tcPr>
            <w:tcW w:type="dxa" w:w="7638"/>
            <w:tcMar>
              <w:top w:type="dxa" w:w="70"/>
              <w:left w:type="dxa" w:w="100"/>
              <w:bottom w:type="dxa" w:w="70"/>
              <w:right w:type="dxa" w:w="100"/>
            </w:tcMar>
          </w:tcPr>
          <w:p>
            <w:pPr>
              <w:spacing w:after="0" w:line="260"/>
            </w:pPr>
            <w:r>
              <w:rPr>
                <w:rFonts w:ascii="Calibri" w:cs="Calibri" w:eastAsia="Calibri" w:hAnsi="Calibri"/>
                <w:color w:val="1E293B"/>
                <w:sz w:val="21"/>
                <w:szCs w:val="21"/>
              </w:rPr>
              <w:t xml:space="preserve">Règlement général sur la protection des données</w:t>
            </w:r>
          </w:p>
        </w:tc>
      </w:tr>
    </w:tbl>
    <w:p>
      <w:pPr>
        <w:spacing w:before="400"/>
        <w:jc w:val="center"/>
      </w:pPr>
      <w:r>
        <w:rPr>
          <w:rFonts w:ascii="Calibri" w:cs="Calibri" w:eastAsia="Calibri" w:hAnsi="Calibri"/>
          <w:i/>
          <w:iCs/>
          <w:color w:val="64748B"/>
          <w:sz w:val="18"/>
          <w:szCs w:val="18"/>
        </w:rPr>
        <w:t xml:space="preserve">Dossier rédigé en octobre 2026 — Compétences RNCP37827BC01 (C1 à C5)</w:t>
      </w: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6"/>
        <w:szCs w:val="16"/>
      </w:rPr>
      <w:t xml:space="preserve">PPMT — Dossier de soutenance RNCP37827BC01 — Claire Lucie DIOUF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outlineLvl w:val="0"/>
    </w:pPr>
    <w:rPr>
      <w:rFonts w:ascii="Calibri" w:cs="Calibri" w:eastAsia="Calibri" w:hAnsi="Calibri"/>
      <w:b/>
      <w:bCs/>
      <w:color w:val="0E4D64"/>
      <w:sz w:val="34"/>
      <w:szCs w:val="34"/>
    </w:rPr>
  </w:style>
  <w:style w:type="paragraph" w:styleId="Heading2">
    <w:name w:val="Heading 2"/>
    <w:basedOn w:val="Normal"/>
    <w:next w:val="Normal"/>
    <w:qFormat/>
    <w:pPr>
      <w:spacing w:after="120" w:before="260"/>
      <w:outlineLvl w:val="1"/>
    </w:pPr>
    <w:rPr>
      <w:rFonts w:ascii="Calibri" w:cs="Calibri" w:eastAsia="Calibri" w:hAnsi="Calibri"/>
      <w:b/>
      <w:bCs/>
      <w:color w:val="0E4D64"/>
      <w:sz w:val="26"/>
      <w:szCs w:val="26"/>
    </w:rPr>
  </w:style>
  <w:style w:type="paragraph" w:styleId="Heading3">
    <w:name w:val="Heading 3"/>
    <w:basedOn w:val="Normal"/>
    <w:next w:val="Normal"/>
    <w:qFormat/>
    <w:pPr>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9604398399c7da30b7f87d19317414c82fc291.png"/><Relationship Id="rId10" Type="http://schemas.openxmlformats.org/officeDocument/2006/relationships/image" Target="media/902e3770a28ffac28387b43fb0c7459b577e93ef.png"/><Relationship Id="rId11" Type="http://schemas.openxmlformats.org/officeDocument/2006/relationships/image" Target="media/f87530f65d2610372ae786bb587eb84cae7f40e7.png"/><Relationship Id="rId12" Type="http://schemas.openxmlformats.org/officeDocument/2006/relationships/image" Target="media/e0c2165def00fa99826bee5297a5895b6110bcbc.png"/><Relationship Id="rId13" Type="http://schemas.openxmlformats.org/officeDocument/2006/relationships/image" Target="media/b47663df258314ede7a71501ff074af5a002821b.png"/><Relationship Id="rId14" Type="http://schemas.openxmlformats.org/officeDocument/2006/relationships/image" Target="media/bfe414e3615a79c38579afcc10421fc4e0fab765.png"/><Relationship Id="rId15" Type="http://schemas.openxmlformats.org/officeDocument/2006/relationships/image" Target="media/779eecaedf0a43756e4ca1161fceded6919c7e8b.png"/><Relationship Id="rId16" Type="http://schemas.openxmlformats.org/officeDocument/2006/relationships/image" Target="media/7cf9bda9fb6c35f90e0ddcdd6cc863ebef65103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soutenance RNCP37827BC01 — PPMT</dc:title>
  <dc:creator>Claire Lucie DIOUF</dc:creator>
  <cp:lastModifiedBy>Un-named</cp:lastModifiedBy>
  <cp:revision>1</cp:revision>
  <dcterms:created xsi:type="dcterms:W3CDTF">2026-09-30T14:03:57.063Z</dcterms:created>
  <dcterms:modified xsi:type="dcterms:W3CDTF">2026-09-30T14:03:57.063Z</dcterms:modified>
</cp:coreProperties>
</file>

<file path=docProps/custom.xml><?xml version="1.0" encoding="utf-8"?>
<Properties xmlns="http://schemas.openxmlformats.org/officeDocument/2006/custom-properties" xmlns:vt="http://schemas.openxmlformats.org/officeDocument/2006/docPropsVTypes"/>
</file>