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1327" w14:textId="32E5F9F5" w:rsidR="3001949F" w:rsidRDefault="3001949F" w:rsidP="2A192661">
      <w:pPr>
        <w:jc w:val="center"/>
        <w:rPr>
          <w:rFonts w:ascii="Times New Roman" w:eastAsia="Times New Roman" w:hAnsi="Times New Roman" w:cs="Times New Roman"/>
          <w:color w:val="000000" w:themeColor="text1"/>
          <w:sz w:val="32"/>
          <w:szCs w:val="32"/>
        </w:rPr>
      </w:pPr>
      <w:r w:rsidRPr="2CB204D9">
        <w:rPr>
          <w:rFonts w:ascii="Times New Roman" w:eastAsia="Times New Roman" w:hAnsi="Times New Roman" w:cs="Times New Roman"/>
          <w:color w:val="000000" w:themeColor="text1"/>
          <w:sz w:val="32"/>
          <w:szCs w:val="32"/>
        </w:rPr>
        <w:t>Information Security Compliance Auditing</w:t>
      </w:r>
    </w:p>
    <w:p w14:paraId="1A17E866" w14:textId="18E2E14A" w:rsidR="2A192661" w:rsidRDefault="59801F98" w:rsidP="2CB204D9">
      <w:pPr>
        <w:rPr>
          <w:rFonts w:ascii="Times New Roman" w:eastAsia="Times New Roman" w:hAnsi="Times New Roman" w:cs="Times New Roman"/>
          <w:color w:val="000000" w:themeColor="text1"/>
          <w:sz w:val="32"/>
          <w:szCs w:val="32"/>
        </w:rPr>
      </w:pPr>
      <w:r>
        <w:rPr>
          <w:noProof/>
        </w:rPr>
        <w:drawing>
          <wp:inline distT="0" distB="0" distL="0" distR="0" wp14:anchorId="26155765" wp14:editId="161C1B63">
            <wp:extent cx="6591300" cy="38100"/>
            <wp:effectExtent l="0" t="0" r="0" b="0"/>
            <wp:docPr id="221839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19417" name="Picture 605119417"/>
                    <pic:cNvPicPr/>
                  </pic:nvPicPr>
                  <pic:blipFill>
                    <a:blip r:embed="rId6">
                      <a:extLst>
                        <a:ext uri="{28A0092B-C50C-407E-A947-70E740481C1C}">
                          <a14:useLocalDpi xmlns:a14="http://schemas.microsoft.com/office/drawing/2010/main"/>
                        </a:ext>
                      </a:extLst>
                    </a:blip>
                    <a:stretch>
                      <a:fillRect/>
                    </a:stretch>
                  </pic:blipFill>
                  <pic:spPr>
                    <a:xfrm>
                      <a:off x="0" y="0"/>
                      <a:ext cx="6591300" cy="38100"/>
                    </a:xfrm>
                    <a:prstGeom prst="rect">
                      <a:avLst/>
                    </a:prstGeom>
                  </pic:spPr>
                </pic:pic>
              </a:graphicData>
            </a:graphic>
          </wp:inline>
        </w:drawing>
      </w:r>
    </w:p>
    <w:p w14:paraId="373B9F0D" w14:textId="67F9F068" w:rsidR="3001949F" w:rsidRDefault="3001949F" w:rsidP="2A192661">
      <w:pPr>
        <w:jc w:val="center"/>
        <w:rPr>
          <w:rFonts w:ascii="Times New Roman" w:eastAsia="Times New Roman" w:hAnsi="Times New Roman" w:cs="Times New Roman"/>
          <w:color w:val="000000" w:themeColor="text1"/>
          <w:sz w:val="32"/>
          <w:szCs w:val="32"/>
        </w:rPr>
      </w:pPr>
      <w:r w:rsidRPr="2A192661">
        <w:rPr>
          <w:rFonts w:ascii="Times New Roman" w:eastAsia="Times New Roman" w:hAnsi="Times New Roman" w:cs="Times New Roman"/>
          <w:color w:val="000000" w:themeColor="text1"/>
          <w:sz w:val="32"/>
          <w:szCs w:val="32"/>
        </w:rPr>
        <w:t>Security &amp; Privacy Challenges of HIPAA</w:t>
      </w:r>
    </w:p>
    <w:p w14:paraId="60EA653A" w14:textId="4E7FCABE" w:rsidR="2A192661" w:rsidRDefault="2A192661" w:rsidP="2A192661">
      <w:pPr>
        <w:rPr>
          <w:rFonts w:ascii="Times New Roman" w:eastAsia="Times New Roman" w:hAnsi="Times New Roman" w:cs="Times New Roman"/>
          <w:color w:val="000000" w:themeColor="text1"/>
        </w:rPr>
      </w:pPr>
    </w:p>
    <w:p w14:paraId="323ED5D7" w14:textId="1F48238B" w:rsidR="2A192661" w:rsidRDefault="2A192661" w:rsidP="2A192661">
      <w:pPr>
        <w:rPr>
          <w:rFonts w:ascii="Times New Roman" w:eastAsia="Times New Roman" w:hAnsi="Times New Roman" w:cs="Times New Roman"/>
          <w:color w:val="000000" w:themeColor="text1"/>
        </w:rPr>
      </w:pPr>
    </w:p>
    <w:p w14:paraId="5007E2C6" w14:textId="6D6DA646" w:rsidR="2A192661" w:rsidRDefault="2A192661" w:rsidP="2A192661">
      <w:pPr>
        <w:rPr>
          <w:rFonts w:ascii="Times New Roman" w:eastAsia="Times New Roman" w:hAnsi="Times New Roman" w:cs="Times New Roman"/>
          <w:color w:val="000000" w:themeColor="text1"/>
        </w:rPr>
      </w:pPr>
    </w:p>
    <w:p w14:paraId="104CDC32" w14:textId="43DCC0ED" w:rsidR="2A192661" w:rsidRDefault="2A192661" w:rsidP="2A192661">
      <w:pPr>
        <w:rPr>
          <w:rFonts w:ascii="Times New Roman" w:eastAsia="Times New Roman" w:hAnsi="Times New Roman" w:cs="Times New Roman"/>
          <w:color w:val="000000" w:themeColor="text1"/>
        </w:rPr>
      </w:pPr>
    </w:p>
    <w:p w14:paraId="3FE6F414" w14:textId="2439B87B" w:rsidR="2A192661" w:rsidRDefault="2A192661" w:rsidP="2A192661">
      <w:pPr>
        <w:rPr>
          <w:rFonts w:ascii="Times New Roman" w:eastAsia="Times New Roman" w:hAnsi="Times New Roman" w:cs="Times New Roman"/>
          <w:color w:val="000000" w:themeColor="text1"/>
        </w:rPr>
      </w:pPr>
    </w:p>
    <w:p w14:paraId="2295996F" w14:textId="1DE30AF5" w:rsidR="2A192661" w:rsidRDefault="2A192661" w:rsidP="2A192661">
      <w:pPr>
        <w:rPr>
          <w:rFonts w:ascii="Times New Roman" w:eastAsia="Times New Roman" w:hAnsi="Times New Roman" w:cs="Times New Roman"/>
          <w:color w:val="000000" w:themeColor="text1"/>
        </w:rPr>
      </w:pPr>
    </w:p>
    <w:p w14:paraId="31F1ADC6" w14:textId="3713AF5F" w:rsidR="2A192661" w:rsidRDefault="2A192661" w:rsidP="2A192661">
      <w:pPr>
        <w:rPr>
          <w:rFonts w:ascii="Times New Roman" w:eastAsia="Times New Roman" w:hAnsi="Times New Roman" w:cs="Times New Roman"/>
          <w:color w:val="000000" w:themeColor="text1"/>
        </w:rPr>
      </w:pPr>
    </w:p>
    <w:p w14:paraId="4FCB93DA" w14:textId="3FFA7434" w:rsidR="2A192661" w:rsidRDefault="2A192661" w:rsidP="2A192661">
      <w:pPr>
        <w:rPr>
          <w:rFonts w:ascii="Times New Roman" w:eastAsia="Times New Roman" w:hAnsi="Times New Roman" w:cs="Times New Roman"/>
          <w:color w:val="000000" w:themeColor="text1"/>
        </w:rPr>
      </w:pPr>
    </w:p>
    <w:p w14:paraId="7D3BDBB9" w14:textId="281DB672" w:rsidR="2A192661" w:rsidRDefault="2A192661" w:rsidP="2A192661">
      <w:pPr>
        <w:rPr>
          <w:rFonts w:ascii="Times New Roman" w:eastAsia="Times New Roman" w:hAnsi="Times New Roman" w:cs="Times New Roman"/>
          <w:color w:val="000000" w:themeColor="text1"/>
        </w:rPr>
      </w:pPr>
    </w:p>
    <w:p w14:paraId="7E798C3B" w14:textId="03259EE8" w:rsidR="2A192661" w:rsidRDefault="2A192661" w:rsidP="2A192661">
      <w:pPr>
        <w:rPr>
          <w:rFonts w:ascii="Times New Roman" w:eastAsia="Times New Roman" w:hAnsi="Times New Roman" w:cs="Times New Roman"/>
          <w:color w:val="000000" w:themeColor="text1"/>
        </w:rPr>
      </w:pPr>
    </w:p>
    <w:p w14:paraId="4FCF2873" w14:textId="30296320" w:rsidR="2A192661" w:rsidRDefault="2A192661" w:rsidP="2A192661">
      <w:pPr>
        <w:rPr>
          <w:rFonts w:ascii="Times New Roman" w:eastAsia="Times New Roman" w:hAnsi="Times New Roman" w:cs="Times New Roman"/>
          <w:color w:val="000000" w:themeColor="text1"/>
        </w:rPr>
      </w:pPr>
    </w:p>
    <w:p w14:paraId="66C4A39B" w14:textId="0B607492" w:rsidR="2A192661" w:rsidRDefault="2A192661" w:rsidP="2A192661">
      <w:pPr>
        <w:rPr>
          <w:rFonts w:ascii="Times New Roman" w:eastAsia="Times New Roman" w:hAnsi="Times New Roman" w:cs="Times New Roman"/>
          <w:color w:val="000000" w:themeColor="text1"/>
        </w:rPr>
      </w:pPr>
    </w:p>
    <w:p w14:paraId="30917423" w14:textId="52AA3F51" w:rsidR="2A192661" w:rsidRDefault="2A192661" w:rsidP="2A192661">
      <w:pPr>
        <w:rPr>
          <w:rFonts w:ascii="Times New Roman" w:eastAsia="Times New Roman" w:hAnsi="Times New Roman" w:cs="Times New Roman"/>
          <w:color w:val="000000" w:themeColor="text1"/>
        </w:rPr>
      </w:pPr>
    </w:p>
    <w:p w14:paraId="6269A67F" w14:textId="11134122" w:rsidR="2A192661" w:rsidRDefault="2A192661" w:rsidP="000A3669">
      <w:pPr>
        <w:rPr>
          <w:rFonts w:ascii="Times New Roman" w:eastAsia="Times New Roman" w:hAnsi="Times New Roman" w:cs="Times New Roman"/>
          <w:color w:val="000000" w:themeColor="text1"/>
        </w:rPr>
      </w:pPr>
    </w:p>
    <w:p w14:paraId="1E7141D1" w14:textId="4A490CF9" w:rsidR="3001949F" w:rsidRDefault="3001949F" w:rsidP="008148D4">
      <w:pPr>
        <w:ind w:left="2160" w:firstLine="720"/>
        <w:rPr>
          <w:rFonts w:ascii="Times New Roman" w:eastAsia="Times New Roman" w:hAnsi="Times New Roman" w:cs="Times New Roman"/>
          <w:color w:val="000000" w:themeColor="text1"/>
        </w:rPr>
      </w:pPr>
      <w:r w:rsidRPr="2A192661">
        <w:rPr>
          <w:rFonts w:ascii="Times New Roman" w:eastAsia="Times New Roman" w:hAnsi="Times New Roman" w:cs="Times New Roman"/>
          <w:color w:val="000000" w:themeColor="text1"/>
        </w:rPr>
        <w:t>Clairvens Lapointe</w:t>
      </w:r>
    </w:p>
    <w:p w14:paraId="0F144523" w14:textId="3298A5A4" w:rsidR="2A192661" w:rsidRDefault="2A192661" w:rsidP="2A192661">
      <w:pPr>
        <w:rPr>
          <w:rFonts w:ascii="Times New Roman" w:eastAsia="Times New Roman" w:hAnsi="Times New Roman" w:cs="Times New Roman"/>
          <w:color w:val="000000" w:themeColor="text1"/>
        </w:rPr>
      </w:pPr>
    </w:p>
    <w:p w14:paraId="69676A95" w14:textId="6ED477D2" w:rsidR="2A192661" w:rsidRDefault="2A192661" w:rsidP="2A192661">
      <w:pPr>
        <w:rPr>
          <w:rFonts w:ascii="Times New Roman" w:eastAsia="Times New Roman" w:hAnsi="Times New Roman" w:cs="Times New Roman"/>
          <w:color w:val="000000" w:themeColor="text1"/>
        </w:rPr>
      </w:pPr>
    </w:p>
    <w:p w14:paraId="5578E5F1" w14:textId="0BA37F06" w:rsidR="34399ECF" w:rsidRDefault="3008A06B" w:rsidP="2A192661">
      <w:pPr>
        <w:pStyle w:val="Heading1"/>
      </w:pPr>
      <w:bookmarkStart w:id="0" w:name="_Toc214644715"/>
      <w:r>
        <w:t>Table of Contents</w:t>
      </w:r>
      <w:bookmarkEnd w:id="0"/>
    </w:p>
    <w:p w14:paraId="3B52A8B7" w14:textId="484F0756" w:rsidR="2A192661" w:rsidRDefault="2A192661" w:rsidP="2A192661"/>
    <w:p w14:paraId="04BAF83B" w14:textId="1906A111" w:rsidR="2A192661" w:rsidRDefault="2A192661" w:rsidP="2A192661"/>
    <w:p w14:paraId="6BA0A564" w14:textId="14E56D54" w:rsidR="2A192661" w:rsidRDefault="2A192661" w:rsidP="2A192661"/>
    <w:sdt>
      <w:sdtPr>
        <w:id w:val="1892160748"/>
        <w:docPartObj>
          <w:docPartGallery w:val="Table of Contents"/>
          <w:docPartUnique/>
        </w:docPartObj>
      </w:sdtPr>
      <w:sdtContent>
        <w:p w14:paraId="335A7661" w14:textId="78EB060C" w:rsidR="00D67255" w:rsidRDefault="3B98DD12">
          <w:pPr>
            <w:pStyle w:val="TOC1"/>
            <w:tabs>
              <w:tab w:val="right" w:leader="dot" w:pos="9350"/>
            </w:tabs>
            <w:rPr>
              <w:noProof/>
              <w:kern w:val="2"/>
              <w:lang w:eastAsia="en-US"/>
              <w14:ligatures w14:val="standardContextual"/>
            </w:rPr>
          </w:pPr>
          <w:r>
            <w:fldChar w:fldCharType="begin"/>
          </w:r>
          <w:r w:rsidR="2A192661">
            <w:instrText>TOC \o "1-9" \z \u \h</w:instrText>
          </w:r>
          <w:r>
            <w:fldChar w:fldCharType="separate"/>
          </w:r>
          <w:hyperlink w:anchor="_Toc214644715" w:history="1">
            <w:r w:rsidR="00D67255" w:rsidRPr="00296F2B">
              <w:rPr>
                <w:rStyle w:val="Hyperlink"/>
                <w:noProof/>
              </w:rPr>
              <w:t>Table of Contents</w:t>
            </w:r>
            <w:r w:rsidR="00D67255">
              <w:rPr>
                <w:noProof/>
                <w:webHidden/>
              </w:rPr>
              <w:tab/>
            </w:r>
            <w:r w:rsidR="00D67255">
              <w:rPr>
                <w:noProof/>
                <w:webHidden/>
              </w:rPr>
              <w:fldChar w:fldCharType="begin"/>
            </w:r>
            <w:r w:rsidR="00D67255">
              <w:rPr>
                <w:noProof/>
                <w:webHidden/>
              </w:rPr>
              <w:instrText xml:space="preserve"> PAGEREF _Toc214644715 \h </w:instrText>
            </w:r>
            <w:r w:rsidR="00D67255">
              <w:rPr>
                <w:noProof/>
                <w:webHidden/>
              </w:rPr>
            </w:r>
            <w:r w:rsidR="00D67255">
              <w:rPr>
                <w:noProof/>
                <w:webHidden/>
              </w:rPr>
              <w:fldChar w:fldCharType="separate"/>
            </w:r>
            <w:r w:rsidR="00D67255">
              <w:rPr>
                <w:noProof/>
                <w:webHidden/>
              </w:rPr>
              <w:t>2</w:t>
            </w:r>
            <w:r w:rsidR="00D67255">
              <w:rPr>
                <w:noProof/>
                <w:webHidden/>
              </w:rPr>
              <w:fldChar w:fldCharType="end"/>
            </w:r>
          </w:hyperlink>
        </w:p>
        <w:p w14:paraId="307C48DF" w14:textId="0EBD83B4" w:rsidR="00D67255" w:rsidRDefault="00D67255">
          <w:pPr>
            <w:pStyle w:val="TOC1"/>
            <w:tabs>
              <w:tab w:val="right" w:leader="dot" w:pos="9350"/>
            </w:tabs>
            <w:rPr>
              <w:noProof/>
              <w:kern w:val="2"/>
              <w:lang w:eastAsia="en-US"/>
              <w14:ligatures w14:val="standardContextual"/>
            </w:rPr>
          </w:pPr>
          <w:hyperlink w:anchor="_Toc214644716" w:history="1">
            <w:r w:rsidRPr="00296F2B">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_Toc214644716 \h </w:instrText>
            </w:r>
            <w:r>
              <w:rPr>
                <w:noProof/>
                <w:webHidden/>
              </w:rPr>
            </w:r>
            <w:r>
              <w:rPr>
                <w:noProof/>
                <w:webHidden/>
              </w:rPr>
              <w:fldChar w:fldCharType="separate"/>
            </w:r>
            <w:r>
              <w:rPr>
                <w:noProof/>
                <w:webHidden/>
              </w:rPr>
              <w:t>3</w:t>
            </w:r>
            <w:r>
              <w:rPr>
                <w:noProof/>
                <w:webHidden/>
              </w:rPr>
              <w:fldChar w:fldCharType="end"/>
            </w:r>
          </w:hyperlink>
        </w:p>
        <w:p w14:paraId="2B04607D" w14:textId="14B6B7EE" w:rsidR="00D67255" w:rsidRDefault="00D67255">
          <w:pPr>
            <w:pStyle w:val="TOC1"/>
            <w:tabs>
              <w:tab w:val="right" w:leader="dot" w:pos="9350"/>
            </w:tabs>
            <w:rPr>
              <w:noProof/>
              <w:kern w:val="2"/>
              <w:lang w:eastAsia="en-US"/>
              <w14:ligatures w14:val="standardContextual"/>
            </w:rPr>
          </w:pPr>
          <w:hyperlink w:anchor="_Toc214644717" w:history="1">
            <w:r w:rsidRPr="00296F2B">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_Toc214644717 \h </w:instrText>
            </w:r>
            <w:r>
              <w:rPr>
                <w:noProof/>
                <w:webHidden/>
              </w:rPr>
            </w:r>
            <w:r>
              <w:rPr>
                <w:noProof/>
                <w:webHidden/>
              </w:rPr>
              <w:fldChar w:fldCharType="separate"/>
            </w:r>
            <w:r>
              <w:rPr>
                <w:noProof/>
                <w:webHidden/>
              </w:rPr>
              <w:t>4</w:t>
            </w:r>
            <w:r>
              <w:rPr>
                <w:noProof/>
                <w:webHidden/>
              </w:rPr>
              <w:fldChar w:fldCharType="end"/>
            </w:r>
          </w:hyperlink>
        </w:p>
        <w:p w14:paraId="61F66E34" w14:textId="59F64E4F" w:rsidR="00D67255" w:rsidRDefault="00D67255">
          <w:pPr>
            <w:pStyle w:val="TOC1"/>
            <w:tabs>
              <w:tab w:val="right" w:leader="dot" w:pos="9350"/>
            </w:tabs>
            <w:rPr>
              <w:noProof/>
              <w:kern w:val="2"/>
              <w:lang w:eastAsia="en-US"/>
              <w14:ligatures w14:val="standardContextual"/>
            </w:rPr>
          </w:pPr>
          <w:hyperlink w:anchor="_Toc214644718" w:history="1">
            <w:r w:rsidRPr="00296F2B">
              <w:rPr>
                <w:rStyle w:val="Hyperlink"/>
                <w:rFonts w:ascii="Times New Roman" w:hAnsi="Times New Roman" w:cs="Times New Roman"/>
                <w:noProof/>
              </w:rPr>
              <w:t>Technical Challenges</w:t>
            </w:r>
            <w:r>
              <w:rPr>
                <w:noProof/>
                <w:webHidden/>
              </w:rPr>
              <w:tab/>
            </w:r>
            <w:r>
              <w:rPr>
                <w:noProof/>
                <w:webHidden/>
              </w:rPr>
              <w:fldChar w:fldCharType="begin"/>
            </w:r>
            <w:r>
              <w:rPr>
                <w:noProof/>
                <w:webHidden/>
              </w:rPr>
              <w:instrText xml:space="preserve"> PAGEREF _Toc214644718 \h </w:instrText>
            </w:r>
            <w:r>
              <w:rPr>
                <w:noProof/>
                <w:webHidden/>
              </w:rPr>
            </w:r>
            <w:r>
              <w:rPr>
                <w:noProof/>
                <w:webHidden/>
              </w:rPr>
              <w:fldChar w:fldCharType="separate"/>
            </w:r>
            <w:r>
              <w:rPr>
                <w:noProof/>
                <w:webHidden/>
              </w:rPr>
              <w:t>6</w:t>
            </w:r>
            <w:r>
              <w:rPr>
                <w:noProof/>
                <w:webHidden/>
              </w:rPr>
              <w:fldChar w:fldCharType="end"/>
            </w:r>
          </w:hyperlink>
        </w:p>
        <w:p w14:paraId="45EEB614" w14:textId="4A1E6333" w:rsidR="00D67255" w:rsidRDefault="00D67255">
          <w:pPr>
            <w:pStyle w:val="TOC1"/>
            <w:tabs>
              <w:tab w:val="right" w:leader="dot" w:pos="9350"/>
            </w:tabs>
            <w:rPr>
              <w:noProof/>
              <w:kern w:val="2"/>
              <w:lang w:eastAsia="en-US"/>
              <w14:ligatures w14:val="standardContextual"/>
            </w:rPr>
          </w:pPr>
          <w:hyperlink w:anchor="_Toc214644719" w:history="1">
            <w:r w:rsidRPr="00296F2B">
              <w:rPr>
                <w:rStyle w:val="Hyperlink"/>
                <w:rFonts w:ascii="Times New Roman" w:hAnsi="Times New Roman" w:cs="Times New Roman"/>
                <w:noProof/>
              </w:rPr>
              <w:t>Legal Challenges</w:t>
            </w:r>
            <w:r>
              <w:rPr>
                <w:noProof/>
                <w:webHidden/>
              </w:rPr>
              <w:tab/>
            </w:r>
            <w:r>
              <w:rPr>
                <w:noProof/>
                <w:webHidden/>
              </w:rPr>
              <w:fldChar w:fldCharType="begin"/>
            </w:r>
            <w:r>
              <w:rPr>
                <w:noProof/>
                <w:webHidden/>
              </w:rPr>
              <w:instrText xml:space="preserve"> PAGEREF _Toc214644719 \h </w:instrText>
            </w:r>
            <w:r>
              <w:rPr>
                <w:noProof/>
                <w:webHidden/>
              </w:rPr>
            </w:r>
            <w:r>
              <w:rPr>
                <w:noProof/>
                <w:webHidden/>
              </w:rPr>
              <w:fldChar w:fldCharType="separate"/>
            </w:r>
            <w:r>
              <w:rPr>
                <w:noProof/>
                <w:webHidden/>
              </w:rPr>
              <w:t>8</w:t>
            </w:r>
            <w:r>
              <w:rPr>
                <w:noProof/>
                <w:webHidden/>
              </w:rPr>
              <w:fldChar w:fldCharType="end"/>
            </w:r>
          </w:hyperlink>
        </w:p>
        <w:p w14:paraId="71CBFA66" w14:textId="7B3BDCEB" w:rsidR="00D67255" w:rsidRDefault="00D67255">
          <w:pPr>
            <w:pStyle w:val="TOC1"/>
            <w:tabs>
              <w:tab w:val="right" w:leader="dot" w:pos="9350"/>
            </w:tabs>
            <w:rPr>
              <w:noProof/>
              <w:kern w:val="2"/>
              <w:lang w:eastAsia="en-US"/>
              <w14:ligatures w14:val="standardContextual"/>
            </w:rPr>
          </w:pPr>
          <w:hyperlink w:anchor="_Toc214644720" w:history="1">
            <w:r w:rsidRPr="00296F2B">
              <w:rPr>
                <w:rStyle w:val="Hyperlink"/>
                <w:rFonts w:ascii="Times New Roman" w:hAnsi="Times New Roman" w:cs="Times New Roman"/>
                <w:noProof/>
              </w:rPr>
              <w:t>Business Challenges</w:t>
            </w:r>
            <w:r>
              <w:rPr>
                <w:noProof/>
                <w:webHidden/>
              </w:rPr>
              <w:tab/>
            </w:r>
            <w:r>
              <w:rPr>
                <w:noProof/>
                <w:webHidden/>
              </w:rPr>
              <w:fldChar w:fldCharType="begin"/>
            </w:r>
            <w:r>
              <w:rPr>
                <w:noProof/>
                <w:webHidden/>
              </w:rPr>
              <w:instrText xml:space="preserve"> PAGEREF _Toc214644720 \h </w:instrText>
            </w:r>
            <w:r>
              <w:rPr>
                <w:noProof/>
                <w:webHidden/>
              </w:rPr>
            </w:r>
            <w:r>
              <w:rPr>
                <w:noProof/>
                <w:webHidden/>
              </w:rPr>
              <w:fldChar w:fldCharType="separate"/>
            </w:r>
            <w:r>
              <w:rPr>
                <w:noProof/>
                <w:webHidden/>
              </w:rPr>
              <w:t>10</w:t>
            </w:r>
            <w:r>
              <w:rPr>
                <w:noProof/>
                <w:webHidden/>
              </w:rPr>
              <w:fldChar w:fldCharType="end"/>
            </w:r>
          </w:hyperlink>
        </w:p>
        <w:p w14:paraId="395212CA" w14:textId="3BD7C92B" w:rsidR="00D67255" w:rsidRDefault="00D67255">
          <w:pPr>
            <w:pStyle w:val="TOC1"/>
            <w:tabs>
              <w:tab w:val="right" w:leader="dot" w:pos="9350"/>
            </w:tabs>
            <w:rPr>
              <w:noProof/>
              <w:kern w:val="2"/>
              <w:lang w:eastAsia="en-US"/>
              <w14:ligatures w14:val="standardContextual"/>
            </w:rPr>
          </w:pPr>
          <w:hyperlink w:anchor="_Toc214644721" w:history="1">
            <w:r w:rsidRPr="00296F2B">
              <w:rPr>
                <w:rStyle w:val="Hyperlink"/>
                <w:rFonts w:ascii="Times New Roman" w:hAnsi="Times New Roman" w:cs="Times New Roman"/>
                <w:noProof/>
              </w:rPr>
              <w:t>Case Study</w:t>
            </w:r>
            <w:r>
              <w:rPr>
                <w:noProof/>
                <w:webHidden/>
              </w:rPr>
              <w:tab/>
            </w:r>
            <w:r>
              <w:rPr>
                <w:noProof/>
                <w:webHidden/>
              </w:rPr>
              <w:fldChar w:fldCharType="begin"/>
            </w:r>
            <w:r>
              <w:rPr>
                <w:noProof/>
                <w:webHidden/>
              </w:rPr>
              <w:instrText xml:space="preserve"> PAGEREF _Toc214644721 \h </w:instrText>
            </w:r>
            <w:r>
              <w:rPr>
                <w:noProof/>
                <w:webHidden/>
              </w:rPr>
            </w:r>
            <w:r>
              <w:rPr>
                <w:noProof/>
                <w:webHidden/>
              </w:rPr>
              <w:fldChar w:fldCharType="separate"/>
            </w:r>
            <w:r>
              <w:rPr>
                <w:noProof/>
                <w:webHidden/>
              </w:rPr>
              <w:t>11</w:t>
            </w:r>
            <w:r>
              <w:rPr>
                <w:noProof/>
                <w:webHidden/>
              </w:rPr>
              <w:fldChar w:fldCharType="end"/>
            </w:r>
          </w:hyperlink>
        </w:p>
        <w:p w14:paraId="1CA7B36A" w14:textId="0D741A51" w:rsidR="00D67255" w:rsidRDefault="00D67255">
          <w:pPr>
            <w:pStyle w:val="TOC1"/>
            <w:tabs>
              <w:tab w:val="right" w:leader="dot" w:pos="9350"/>
            </w:tabs>
            <w:rPr>
              <w:noProof/>
              <w:kern w:val="2"/>
              <w:lang w:eastAsia="en-US"/>
              <w14:ligatures w14:val="standardContextual"/>
            </w:rPr>
          </w:pPr>
          <w:hyperlink w:anchor="_Toc214644722" w:history="1">
            <w:r w:rsidRPr="00296F2B">
              <w:rPr>
                <w:rStyle w:val="Hyperlink"/>
                <w:rFonts w:ascii="Times New Roman" w:hAnsi="Times New Roman" w:cs="Times New Roman"/>
                <w:noProof/>
              </w:rPr>
              <w:t>Recommendations</w:t>
            </w:r>
            <w:r>
              <w:rPr>
                <w:noProof/>
                <w:webHidden/>
              </w:rPr>
              <w:tab/>
            </w:r>
            <w:r>
              <w:rPr>
                <w:noProof/>
                <w:webHidden/>
              </w:rPr>
              <w:fldChar w:fldCharType="begin"/>
            </w:r>
            <w:r>
              <w:rPr>
                <w:noProof/>
                <w:webHidden/>
              </w:rPr>
              <w:instrText xml:space="preserve"> PAGEREF _Toc214644722 \h </w:instrText>
            </w:r>
            <w:r>
              <w:rPr>
                <w:noProof/>
                <w:webHidden/>
              </w:rPr>
            </w:r>
            <w:r>
              <w:rPr>
                <w:noProof/>
                <w:webHidden/>
              </w:rPr>
              <w:fldChar w:fldCharType="separate"/>
            </w:r>
            <w:r>
              <w:rPr>
                <w:noProof/>
                <w:webHidden/>
              </w:rPr>
              <w:t>13</w:t>
            </w:r>
            <w:r>
              <w:rPr>
                <w:noProof/>
                <w:webHidden/>
              </w:rPr>
              <w:fldChar w:fldCharType="end"/>
            </w:r>
          </w:hyperlink>
        </w:p>
        <w:p w14:paraId="689AAFCA" w14:textId="4E84CC69" w:rsidR="00D67255" w:rsidRDefault="00D67255">
          <w:pPr>
            <w:pStyle w:val="TOC1"/>
            <w:tabs>
              <w:tab w:val="right" w:leader="dot" w:pos="9350"/>
            </w:tabs>
            <w:rPr>
              <w:noProof/>
              <w:kern w:val="2"/>
              <w:lang w:eastAsia="en-US"/>
              <w14:ligatures w14:val="standardContextual"/>
            </w:rPr>
          </w:pPr>
          <w:hyperlink w:anchor="_Toc214644723" w:history="1">
            <w:r w:rsidRPr="00296F2B">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_Toc214644723 \h </w:instrText>
            </w:r>
            <w:r>
              <w:rPr>
                <w:noProof/>
                <w:webHidden/>
              </w:rPr>
            </w:r>
            <w:r>
              <w:rPr>
                <w:noProof/>
                <w:webHidden/>
              </w:rPr>
              <w:fldChar w:fldCharType="separate"/>
            </w:r>
            <w:r>
              <w:rPr>
                <w:noProof/>
                <w:webHidden/>
              </w:rPr>
              <w:t>14</w:t>
            </w:r>
            <w:r>
              <w:rPr>
                <w:noProof/>
                <w:webHidden/>
              </w:rPr>
              <w:fldChar w:fldCharType="end"/>
            </w:r>
          </w:hyperlink>
        </w:p>
        <w:p w14:paraId="1156C0C3" w14:textId="1933AF78" w:rsidR="00D67255" w:rsidRDefault="00D67255">
          <w:pPr>
            <w:pStyle w:val="TOC1"/>
            <w:tabs>
              <w:tab w:val="right" w:leader="dot" w:pos="9350"/>
            </w:tabs>
            <w:rPr>
              <w:noProof/>
              <w:kern w:val="2"/>
              <w:lang w:eastAsia="en-US"/>
              <w14:ligatures w14:val="standardContextual"/>
            </w:rPr>
          </w:pPr>
          <w:hyperlink w:anchor="_Toc214644724" w:history="1">
            <w:r w:rsidRPr="00296F2B">
              <w:rPr>
                <w:rStyle w:val="Hyperlink"/>
                <w:rFonts w:ascii="Times New Roman" w:hAnsi="Times New Roman" w:cs="Times New Roman"/>
                <w:noProof/>
              </w:rPr>
              <w:t>Reference</w:t>
            </w:r>
            <w:r>
              <w:rPr>
                <w:noProof/>
                <w:webHidden/>
              </w:rPr>
              <w:tab/>
            </w:r>
            <w:r>
              <w:rPr>
                <w:noProof/>
                <w:webHidden/>
              </w:rPr>
              <w:fldChar w:fldCharType="begin"/>
            </w:r>
            <w:r>
              <w:rPr>
                <w:noProof/>
                <w:webHidden/>
              </w:rPr>
              <w:instrText xml:space="preserve"> PAGEREF _Toc214644724 \h </w:instrText>
            </w:r>
            <w:r>
              <w:rPr>
                <w:noProof/>
                <w:webHidden/>
              </w:rPr>
            </w:r>
            <w:r>
              <w:rPr>
                <w:noProof/>
                <w:webHidden/>
              </w:rPr>
              <w:fldChar w:fldCharType="separate"/>
            </w:r>
            <w:r>
              <w:rPr>
                <w:noProof/>
                <w:webHidden/>
              </w:rPr>
              <w:t>15</w:t>
            </w:r>
            <w:r>
              <w:rPr>
                <w:noProof/>
                <w:webHidden/>
              </w:rPr>
              <w:fldChar w:fldCharType="end"/>
            </w:r>
          </w:hyperlink>
        </w:p>
        <w:p w14:paraId="5A554D12" w14:textId="482DAD4A" w:rsidR="2A192661" w:rsidRPr="00AA0AD3" w:rsidRDefault="3B98DD12" w:rsidP="00AA0AD3">
          <w:pPr>
            <w:pStyle w:val="TOC1"/>
            <w:tabs>
              <w:tab w:val="right" w:leader="dot" w:pos="9360"/>
            </w:tabs>
            <w:rPr>
              <w:color w:val="467886"/>
              <w:u w:val="single"/>
            </w:rPr>
          </w:pPr>
          <w:r>
            <w:fldChar w:fldCharType="end"/>
          </w:r>
        </w:p>
      </w:sdtContent>
    </w:sdt>
    <w:p w14:paraId="22A5AF0B" w14:textId="3586428E" w:rsidR="2A192661" w:rsidRDefault="2A192661" w:rsidP="2A192661"/>
    <w:p w14:paraId="6FD8268B" w14:textId="45D47D9A" w:rsidR="00D906D4" w:rsidRPr="00D906D4" w:rsidRDefault="00D906D4" w:rsidP="00535AA1">
      <w:pPr>
        <w:pStyle w:val="Heading1"/>
        <w:rPr>
          <w:rFonts w:ascii="Times New Roman" w:hAnsi="Times New Roman" w:cs="Times New Roman"/>
          <w:sz w:val="24"/>
          <w:szCs w:val="24"/>
        </w:rPr>
      </w:pPr>
      <w:bookmarkStart w:id="1" w:name="_Toc214644716"/>
      <w:r w:rsidRPr="00535AA1">
        <w:rPr>
          <w:rFonts w:ascii="Times New Roman" w:hAnsi="Times New Roman" w:cs="Times New Roman"/>
          <w:sz w:val="24"/>
          <w:szCs w:val="24"/>
        </w:rPr>
        <w:lastRenderedPageBreak/>
        <w:t>Introduction</w:t>
      </w:r>
      <w:bookmarkEnd w:id="1"/>
    </w:p>
    <w:p w14:paraId="524B834D" w14:textId="43CEF08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In today’s digital world, the need to protect sensitive information is more important than ever, especially in healthcare. Hospitals, clinics, insurers, and other healthcare organizations handle large amounts of data to diagnose patients, coordinate treatments, and maintain </w:t>
      </w:r>
      <w:r w:rsidR="004E36CA">
        <w:rPr>
          <w:rFonts w:ascii="Times New Roman" w:hAnsi="Times New Roman" w:cs="Times New Roman"/>
        </w:rPr>
        <w:t>business</w:t>
      </w:r>
      <w:r w:rsidRPr="00D906D4">
        <w:rPr>
          <w:rFonts w:ascii="Times New Roman" w:hAnsi="Times New Roman" w:cs="Times New Roman"/>
        </w:rPr>
        <w:t xml:space="preserve"> operations. At the same time, this information is the most sensitive</w:t>
      </w:r>
      <w:r w:rsidR="00652FAF">
        <w:rPr>
          <w:rFonts w:ascii="Times New Roman" w:hAnsi="Times New Roman" w:cs="Times New Roman"/>
        </w:rPr>
        <w:t xml:space="preserve"> </w:t>
      </w:r>
      <w:r w:rsidRPr="00D906D4">
        <w:rPr>
          <w:rFonts w:ascii="Times New Roman" w:hAnsi="Times New Roman" w:cs="Times New Roman"/>
        </w:rPr>
        <w:t>that anyone can manage. This makes healthcare organizations a prime target for cyberattacks, increasing the likelihood of security and privacy failures that affect both the organization and the individuals it serves. An incident can expose millions of records and break the trust of patients. Due to this severity, the need for strong compliance and auditing best practices is not only a regulatory requirement but is key to providing safe healthcare to everyone.</w:t>
      </w:r>
    </w:p>
    <w:p w14:paraId="35F914E3" w14:textId="5546F6B3"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The Health Insurance Portability and Accountability Act (HIPAA) has been the main law guiding how healthcare organizations protect sensitive patient data since 1996. HIPAA created expectations for privacy, gave patients the right to their data, and set up security standards that healthcare providers and insurers must follow. Even with HIPAA in place, the healthcare sector continues to face widespread breaches and cybersecurity incidents. The 2015 Anthem breach, which exposed nearly 79 million people’s personal information, is a prime example. The attack showed that by not having strong, continuous auditing and risk management </w:t>
      </w:r>
      <w:r w:rsidR="0067468E">
        <w:rPr>
          <w:rFonts w:ascii="Times New Roman" w:hAnsi="Times New Roman" w:cs="Times New Roman"/>
        </w:rPr>
        <w:t xml:space="preserve">best </w:t>
      </w:r>
      <w:r w:rsidRPr="00D906D4">
        <w:rPr>
          <w:rFonts w:ascii="Times New Roman" w:hAnsi="Times New Roman" w:cs="Times New Roman"/>
        </w:rPr>
        <w:t>practices, the consequences can be very serious.</w:t>
      </w:r>
    </w:p>
    <w:p w14:paraId="2FA3223B"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In this paper, I will explore the security and privacy challenges associated with HIPAA from the perspective of cybersecurity compliance auditing. The paper will start with the background of HIPAA and why it is important, then examine the challenges organizations face from technical, business, and legal perspectives. The Anthem Breach is used as a real-world example to </w:t>
      </w:r>
      <w:r w:rsidRPr="00D906D4">
        <w:rPr>
          <w:rFonts w:ascii="Times New Roman" w:hAnsi="Times New Roman" w:cs="Times New Roman"/>
        </w:rPr>
        <w:lastRenderedPageBreak/>
        <w:t>demonstrate gaps in compliance, and auditing can lead to failures. Then I will wrap it up by offering recommendations for improving compliance auditing to better protect patient information.</w:t>
      </w:r>
    </w:p>
    <w:p w14:paraId="5D29A839" w14:textId="6569676B" w:rsidR="00D906D4" w:rsidRPr="00D906D4" w:rsidRDefault="00D906D4" w:rsidP="00535AA1">
      <w:pPr>
        <w:pStyle w:val="Heading1"/>
        <w:rPr>
          <w:rFonts w:ascii="Times New Roman" w:hAnsi="Times New Roman" w:cs="Times New Roman"/>
          <w:sz w:val="24"/>
          <w:szCs w:val="24"/>
        </w:rPr>
      </w:pPr>
      <w:bookmarkStart w:id="2" w:name="_Toc214644717"/>
      <w:r w:rsidRPr="00535AA1">
        <w:rPr>
          <w:rFonts w:ascii="Times New Roman" w:hAnsi="Times New Roman" w:cs="Times New Roman"/>
          <w:sz w:val="24"/>
          <w:szCs w:val="24"/>
        </w:rPr>
        <w:t>Background</w:t>
      </w:r>
      <w:bookmarkEnd w:id="2"/>
    </w:p>
    <w:p w14:paraId="222786EC"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When HIPAA was put into place in 1996, healthcare looked very different from what it is now. Many records were still on paper, and information barely moved between hospitals electronically. There was no standardized approach for storing medical information and determining who can access it. The standard was trust between doctors and patients, with ethics “guiding the confidentiality of medical information” (Staff, 2025). Doctors were expected to keep patient information private, but there was no federal law enforcing that. The lack of standardization meant that “confidentiality practices varied not just from state to state, but also from one hospital or practice to another” (Staff, 2025). Without regulations, confidentiality breaches were dealt with internally, and the patients didn’t even know if their information had been mishandled. Also, health information could be distributed without the patient’s notice or authorization for reasons not related to medical treatment.</w:t>
      </w:r>
    </w:p>
    <w:p w14:paraId="616FDB02"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This system created many security and privacy problems. As healthcare organizations began to digitalize medical records, the risks grew. The lack of proper procedures meant that there were great chances of data breaches and unauthorized access. It was also difficult for patients to know who had their information or hold providers accountable for misuse, “which could erode patient trust” (Staff, 2025).  </w:t>
      </w:r>
    </w:p>
    <w:p w14:paraId="1B31BC50"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When creating HIPAA, the US Congress created standards to ensure the security of electronic protected health information (ePHI), “thereby safeguarding the confidentiality, integrity, and </w:t>
      </w:r>
      <w:r w:rsidRPr="00D906D4">
        <w:rPr>
          <w:rFonts w:ascii="Times New Roman" w:hAnsi="Times New Roman" w:cs="Times New Roman"/>
        </w:rPr>
        <w:lastRenderedPageBreak/>
        <w:t>availability of health information” (Edemekong et al., 2024). The rise in ePHI has called for the need for robust security standards to protect sensitive health information while ensuring proper authorized access by healthcare professionals. HIPAA tried to fix these issues by creating a unified set of privacy, security, and administrative standards to better protect patient-sensitive information.</w:t>
      </w:r>
    </w:p>
    <w:p w14:paraId="5E1201B5" w14:textId="5D38A832"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The U.S Department of Health and Human Services created the Privacy Rule, “a set of national standards for the protection of certain health information” (U.S. Department of Health and Human Services, 2025) to implement HIPAA. The Privacy Rule states the use and disclosure of individuals' protected health information (PHI). It also gives people the right to “request access to or an accounting of disclosures, of their protected health information” (U.S. Department of Health and Human Services, 2025). It also restricts </w:t>
      </w:r>
      <w:r w:rsidR="000B04FF">
        <w:rPr>
          <w:rFonts w:ascii="Times New Roman" w:hAnsi="Times New Roman" w:cs="Times New Roman"/>
        </w:rPr>
        <w:t xml:space="preserve">the </w:t>
      </w:r>
      <w:r w:rsidRPr="00D906D4">
        <w:rPr>
          <w:rFonts w:ascii="Times New Roman" w:hAnsi="Times New Roman" w:cs="Times New Roman"/>
        </w:rPr>
        <w:t xml:space="preserve">improper </w:t>
      </w:r>
      <w:r w:rsidR="00B726CA" w:rsidRPr="00D906D4">
        <w:rPr>
          <w:rFonts w:ascii="Times New Roman" w:hAnsi="Times New Roman" w:cs="Times New Roman"/>
        </w:rPr>
        <w:t>use</w:t>
      </w:r>
      <w:r w:rsidRPr="00D906D4">
        <w:rPr>
          <w:rFonts w:ascii="Times New Roman" w:hAnsi="Times New Roman" w:cs="Times New Roman"/>
        </w:rPr>
        <w:t xml:space="preserve"> of health information and sets out the legal framework for protecting patient privacy.</w:t>
      </w:r>
    </w:p>
    <w:p w14:paraId="73D862E1" w14:textId="5F273475"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Having strong privacy standards is important, but </w:t>
      </w:r>
      <w:r w:rsidR="004964EE">
        <w:rPr>
          <w:rFonts w:ascii="Times New Roman" w:hAnsi="Times New Roman" w:cs="Times New Roman"/>
        </w:rPr>
        <w:t xml:space="preserve">HIPAA </w:t>
      </w:r>
      <w:r w:rsidR="004964EE" w:rsidRPr="00D906D4">
        <w:rPr>
          <w:rFonts w:ascii="Times New Roman" w:hAnsi="Times New Roman" w:cs="Times New Roman"/>
        </w:rPr>
        <w:t>outlines</w:t>
      </w:r>
      <w:r w:rsidRPr="00D906D4">
        <w:rPr>
          <w:rFonts w:ascii="Times New Roman" w:hAnsi="Times New Roman" w:cs="Times New Roman"/>
        </w:rPr>
        <w:t xml:space="preserve"> how organizations must protect </w:t>
      </w:r>
      <w:r w:rsidR="00016136" w:rsidRPr="00D906D4">
        <w:rPr>
          <w:rFonts w:ascii="Times New Roman" w:hAnsi="Times New Roman" w:cs="Times New Roman"/>
        </w:rPr>
        <w:t xml:space="preserve">electronic </w:t>
      </w:r>
      <w:r w:rsidR="00AD6170">
        <w:rPr>
          <w:rFonts w:ascii="Times New Roman" w:hAnsi="Times New Roman" w:cs="Times New Roman"/>
        </w:rPr>
        <w:t xml:space="preserve">protected health </w:t>
      </w:r>
      <w:r w:rsidRPr="00D906D4">
        <w:rPr>
          <w:rFonts w:ascii="Times New Roman" w:hAnsi="Times New Roman" w:cs="Times New Roman"/>
        </w:rPr>
        <w:t xml:space="preserve">data. Protecting patient rights doesn't mean much if the technical and administrative systems are not protected. This is where the HIPAA Security Rule comes in handy. The Privacy Rule of HIPAA focuses on why information can be shared, but the Security Rule focuses on how. It defines the protections organizations must put in place “to ensure the confidentiality, integrity, and availability of protected health information” (U.S. Department of Health and Human Services, 2022) by implementing administrative, technical, and physical security measures. These measures include training and procedures for employees, audit logs, access control, and data protection. These regulations are not expected to be the same for small providers as large entities, as security evolves. The Security Rule requirements “are not linked to specific technologies” (American Medical Association, n.d). The Security Rule is the </w:t>
      </w:r>
      <w:r w:rsidRPr="00D906D4">
        <w:rPr>
          <w:rFonts w:ascii="Times New Roman" w:hAnsi="Times New Roman" w:cs="Times New Roman"/>
        </w:rPr>
        <w:lastRenderedPageBreak/>
        <w:t>operational backbone of HIPAA as it turns privacy principles into actionable practices. Without compliance, organizations would not know if they were adhering to regulatory laws and best practices. Also, without ongoing auditing, organizations have no way of knowing whether their security measures are working as intended. Auditing ensures that the Security Rule is measurable throughout the healthcare environment.</w:t>
      </w:r>
    </w:p>
    <w:p w14:paraId="4F5641AE" w14:textId="77777777" w:rsidR="00D906D4" w:rsidRPr="00535AA1" w:rsidRDefault="00D906D4" w:rsidP="00535AA1">
      <w:pPr>
        <w:pStyle w:val="Heading1"/>
        <w:rPr>
          <w:rFonts w:ascii="Times New Roman" w:hAnsi="Times New Roman" w:cs="Times New Roman"/>
          <w:sz w:val="24"/>
          <w:szCs w:val="24"/>
        </w:rPr>
      </w:pPr>
      <w:r w:rsidRPr="00535AA1">
        <w:rPr>
          <w:rFonts w:ascii="Times New Roman" w:hAnsi="Times New Roman" w:cs="Times New Roman"/>
          <w:sz w:val="24"/>
          <w:szCs w:val="24"/>
        </w:rPr>
        <w:t> </w:t>
      </w:r>
      <w:bookmarkStart w:id="3" w:name="_Toc214644718"/>
      <w:r w:rsidRPr="00535AA1">
        <w:rPr>
          <w:rFonts w:ascii="Times New Roman" w:hAnsi="Times New Roman" w:cs="Times New Roman"/>
          <w:sz w:val="24"/>
          <w:szCs w:val="24"/>
        </w:rPr>
        <w:t>Technical Challenges</w:t>
      </w:r>
      <w:bookmarkEnd w:id="3"/>
    </w:p>
    <w:p w14:paraId="3B229870"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From a technical perspective, healthcare systems are difficult to secure and audit. Today’s healthcare environment consists of electronic health record systems, laboratory information systems, billing systems, medical imaging devices, clinical workstations, mobile devices, telehealth platforms, and cloud-based solutions. These systems do not typically work independently, so isolation is difficult. Instead, they rely on constant communication, sharing data, and compatibility across different environments.  Due to the complexity, it is very hard to maintain full visibility to evaluate whether each component meets HIPAA requirements.</w:t>
      </w:r>
    </w:p>
    <w:p w14:paraId="393ECD91"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Outdated technology is one of the most critical technical challenges. Many hospitals use medical devices that run on outdated operating systems, such as Windows XP or Windows 7, which no longer get security updates. Since many legacy systems are used to provide care, it may not be possible to “have downtime while systems are upgraded without putting patient safety at risk” (Lopez, 2021). That would affect the availability of data and compromise data integrity. Although the use of legacy systems is not a HIPAA violation, it introduces vulnerabilities that should be monitored closely. HIPAA’s Security Rule requires organizations to conduct risk analysis of these legacy systems to identify and mitigate any vulnerabilities found. </w:t>
      </w:r>
      <w:r w:rsidRPr="00D906D4">
        <w:rPr>
          <w:rFonts w:ascii="Times New Roman" w:hAnsi="Times New Roman" w:cs="Times New Roman"/>
        </w:rPr>
        <w:lastRenderedPageBreak/>
        <w:t>Compensating controls should be implemented to ensure the security of these systems and ePHI if the vulnerability cannot be resolved immediately.</w:t>
      </w:r>
    </w:p>
    <w:p w14:paraId="3960F517"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Log monitoring is another challenge. Healthcare systems generate massive volumes of logs from authentication logs to system logs. Reviewing them manually is nearly impossible, and many healthcare organizations lack cybersecurity professionals to analyze logs. HIPAA requires audit logs to be “created, maintained, and reviewed to identify access” (Alder, 2025), so if some hospitals can’t afford to have an internal cybersecurity team, they should consider partnering with a managed security service provider (MSSP) for continuous monitoring.</w:t>
      </w:r>
    </w:p>
    <w:p w14:paraId="57A73CC9" w14:textId="3451F402"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The move to cloud platforms adds auditing challenges under HIPAA. HIPAA does allow healthcare organizations to use cloud service providers if they enter into a HIPAA-compliant business associate agreement (BAA). A BAA must “establish the permitted and required uses and disclosures of ePHI by the business associate” (Office for Civil Rights (OCR), 2016</w:t>
      </w:r>
      <w:r w:rsidR="001D3694" w:rsidRPr="00535AA1">
        <w:rPr>
          <w:rFonts w:ascii="Times New Roman" w:hAnsi="Times New Roman" w:cs="Times New Roman"/>
        </w:rPr>
        <w:t>) and</w:t>
      </w:r>
      <w:r w:rsidRPr="00D906D4">
        <w:rPr>
          <w:rFonts w:ascii="Times New Roman" w:hAnsi="Times New Roman" w:cs="Times New Roman"/>
        </w:rPr>
        <w:t xml:space="preserve"> must require the CSP to “appropriately safeguard the ePHI, including implementing the requirements of the Security Rule” (Office for Civil Rights (OCR), 2016). The responsibility for protecting patient data is shared between the covered entity and the cloud provider, which challenges auditing.</w:t>
      </w:r>
    </w:p>
    <w:p w14:paraId="45D3C529"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HIPAA requires organizations to fully understand the cloud environment before using it. Covered entities must understand the cloud platform so that they can “conduct their own risk analysis and establish risk management policies” (Office for Civil Rights (OCR), 2016). Many organizations adopt cloud platforms without fully understanding their underlying architecture, whether it is public, private, or a hybrid cloud. Each configuration may bring risk to </w:t>
      </w:r>
      <w:r w:rsidRPr="00D906D4">
        <w:rPr>
          <w:rFonts w:ascii="Times New Roman" w:hAnsi="Times New Roman" w:cs="Times New Roman"/>
        </w:rPr>
        <w:lastRenderedPageBreak/>
        <w:t>organizations; therefore, understanding the architecture is vital. Having auditors assess whether the organization’s risk analysis accurately reflects the cloud model being used is important.</w:t>
      </w:r>
    </w:p>
    <w:p w14:paraId="683F7D13"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Together, all these technical complications show how difficult it is for healthcare organizations to maintain HIPAA compliance. Legacy systems introduce vulnerabilities that cannot always be remediated, immense log volumes make it hard to identify suspicious activity in time, and cloud environments require shared responsibility models and continuous risk analysis. Each challenge increases the likelihood of data breaches and complicates auditing.</w:t>
      </w:r>
    </w:p>
    <w:p w14:paraId="66AE312B" w14:textId="77777777" w:rsidR="00D906D4" w:rsidRPr="00535AA1" w:rsidRDefault="00D906D4" w:rsidP="00535AA1">
      <w:pPr>
        <w:pStyle w:val="Heading1"/>
        <w:rPr>
          <w:rFonts w:ascii="Times New Roman" w:hAnsi="Times New Roman" w:cs="Times New Roman"/>
          <w:sz w:val="24"/>
          <w:szCs w:val="24"/>
        </w:rPr>
      </w:pPr>
      <w:bookmarkStart w:id="4" w:name="_Toc214644719"/>
      <w:r w:rsidRPr="00535AA1">
        <w:rPr>
          <w:rFonts w:ascii="Times New Roman" w:hAnsi="Times New Roman" w:cs="Times New Roman"/>
          <w:sz w:val="24"/>
          <w:szCs w:val="24"/>
        </w:rPr>
        <w:t>Legal Challenges</w:t>
      </w:r>
      <w:bookmarkEnd w:id="4"/>
    </w:p>
    <w:p w14:paraId="43A134B5"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From a legal perspective, HIPAA compliance is difficult because of cross-border data transfer risks, conflicts between HIPAA and other privacy laws around the world, and enforcement inconsistencies. Alder explains, “there are – and always have been – gaps in HIPAA” (Alder, 2022), which is one of the most persistent problems in enforcing HIPAA. Many of these gaps come from the “increasing use of technology in healthcare” (Alder, 2022). The Office of Civil Rights (OCR) isn’t issuing real penalties; they are “favoring voluntary compliance and technical assistance” (Alder, 2022). As of September 2022, OCR has resolved or imposed civil penalties in only 126 cases; this “failure to issue (enough) financial penalties” has led many organizations to only meet the bare minimum of HIPAA. Recent updates have strengthened parts of the law, but these enforcement gaps still affect how seriously organizations should treat HIPAA.</w:t>
      </w:r>
    </w:p>
    <w:p w14:paraId="1A6FE7C9"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Cross-border data transfers make things even more complicated. Chan, Toh, and Lysaght did a study and found that navigating different privacy frameworks “pose significant challenges to researchers seeking to share or transfer data” (Chan et al., 2024). People in the study described existing laws as “reactive, vague, and provide limited protection and enforcement” (Chan et al., </w:t>
      </w:r>
      <w:r w:rsidRPr="00D906D4">
        <w:rPr>
          <w:rFonts w:ascii="Times New Roman" w:hAnsi="Times New Roman" w:cs="Times New Roman"/>
        </w:rPr>
        <w:lastRenderedPageBreak/>
        <w:t>2024), which can make it hard for organizations to know what rules apply once data leaves their country. Strong data privacy laws are important to support cross-border challenges, but they need to explicitly spell out responsibilities. For those who write about HIPAA, this means that compliance is not solely about U.S. law; they must take into consideration how foreign laws can impact the handling of protected health information into consideration.</w:t>
      </w:r>
    </w:p>
    <w:p w14:paraId="521BD04D" w14:textId="7524E3D1"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Conflicting international regulations </w:t>
      </w:r>
      <w:r w:rsidR="001D3694" w:rsidRPr="00535AA1">
        <w:rPr>
          <w:rFonts w:ascii="Times New Roman" w:hAnsi="Times New Roman" w:cs="Times New Roman"/>
        </w:rPr>
        <w:t>make</w:t>
      </w:r>
      <w:r w:rsidRPr="00D906D4">
        <w:rPr>
          <w:rFonts w:ascii="Times New Roman" w:hAnsi="Times New Roman" w:cs="Times New Roman"/>
        </w:rPr>
        <w:t xml:space="preserve"> this even harder. Outsourcing to non-US vendors may save organizations money, but they “introduce significant risks to the security of protected health information (PHI)” (Anthoney, 2024) when these vendors operate under different privacy laws, which can lead to data protection gaps. Many other countries have data protection laws that contradict HIPAA. The General Data Protection Regulation has strict rules on data transfer across borders, such as a restriction of personal data to countries that do not have strong data protection. Canada’s Personal Information Protection and Electronic Documents Act is lenient when getting consent to transfer personal information outside of Canada, which conflicts with HIPAA requirements. Other Laws like Brazil’s General Protection Law (LGPD), China’s Personal Information Protection Law (PIPL), India’s proposed Personal Data Protection Bill, and Russia’s Federal Law on Personal Data conflict with HIPAA’s rules. These conflicts create a compliance dilemma for organizations that must adhere to both HIPAA and foreign laws simultaneously.</w:t>
      </w:r>
    </w:p>
    <w:p w14:paraId="1013025A"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Together, these issues demonstrate why the legal side of HIPAA is difficult to overcome. Inconsistent enforcement laws and contradictions between international regulations create uncertainty. It is important to carefully consider these issues to ensure organizations stay compliant at their home office and outside the country.</w:t>
      </w:r>
    </w:p>
    <w:p w14:paraId="444DEB25" w14:textId="77777777" w:rsidR="00D906D4" w:rsidRPr="00196A1F" w:rsidRDefault="00D906D4" w:rsidP="00196A1F">
      <w:pPr>
        <w:pStyle w:val="Heading1"/>
        <w:rPr>
          <w:rFonts w:ascii="Times New Roman" w:hAnsi="Times New Roman" w:cs="Times New Roman"/>
          <w:sz w:val="24"/>
          <w:szCs w:val="24"/>
        </w:rPr>
      </w:pPr>
      <w:bookmarkStart w:id="5" w:name="_Toc214644720"/>
      <w:r w:rsidRPr="00196A1F">
        <w:rPr>
          <w:rFonts w:ascii="Times New Roman" w:hAnsi="Times New Roman" w:cs="Times New Roman"/>
          <w:sz w:val="24"/>
          <w:szCs w:val="24"/>
        </w:rPr>
        <w:lastRenderedPageBreak/>
        <w:t>Business Challenges</w:t>
      </w:r>
      <w:bookmarkEnd w:id="5"/>
    </w:p>
    <w:p w14:paraId="7C42C9F9"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From a business perspective, HIPAA compliance introduces many challenges that go beyond meeting regulatory requirements. One of the biggest challenges organizations face is balancing the cost of compliance with operational needs. HIPAA requires organizations to invest in technology, employee training, and audits. Many professionals can agree that the cost of non-compliance is much more expensive than just meeting compliance. A single data breach can end in large fines, legal fees, downtime, and decreased patient trust, all of which exceed the cost of proactive measures. To manage costs, many organizations prioritize risk analysis so they can focus on the resources they need instead of spending a lot of money on unnecessary resources. Others are using cloud technologies with built-in security features, such as automating documentation and monitoring, or outsourcing specialized compliance tasks to trusted consultants. Organizations must budget for continuous updates, employee training, and review systems regularly to stay up to date with evolving threats and regulations.</w:t>
      </w:r>
    </w:p>
    <w:p w14:paraId="294B4600"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Another challenge is aligning compliance with business goals. Organizations that integrate compliance into strategic decision-making find that it’s effective and builds trust instead of viewing HIPAA as a cost center. Investing in strong governance tools improves the accuracy, quality, and consistency of patient information, which then leads to better clinical decisions. Automating tasks reduces redundancy and enhances security. Having a strong compliant posture demonstrates that an organization is trustworthy to patients. By committing to protecting patient information, healthcare professionals and vendors strengthen their credibility with their patients, insurers, and partners. Those who provide IT services, such as IT firms and cloud vendors aligning with HIPAA, can be a competitive advantage that opens opportunities in the healthcare sector. Aligning compliance with business goals requires developing a security-centered posture </w:t>
      </w:r>
      <w:r w:rsidRPr="00D906D4">
        <w:rPr>
          <w:rFonts w:ascii="Times New Roman" w:hAnsi="Times New Roman" w:cs="Times New Roman"/>
        </w:rPr>
        <w:lastRenderedPageBreak/>
        <w:t>where leadership support, employee training, and clear, concise policies make sure that privacy is integrated into daily operations rather than being a last-minute consideration.</w:t>
      </w:r>
    </w:p>
    <w:p w14:paraId="47C9413F"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Reputational risks are another factor in business decisions when it comes to HIPAA. Data breaches and privacy violations can greatly damage an organization’s image and trustworthiness. Patients who lose trust in a provider’s ability to protect their information may choose to go somewhere to get care, and nowadays, negative publicity spreads quickly through social media and the news. This kind of reputational damage can affect patient loyalty and partnerships, creating financial issues that go far beyond regulatory fines. HIPAA violations also introduce scrutiny from regulators, which makes future compliance efforts more difficult and expensive. Some issues that lead to reputational damage include unauthorized disclosure of protected health information, unencrypted devices, discussing patients in public areas, or not notifying patients of a breach.</w:t>
      </w:r>
    </w:p>
    <w:p w14:paraId="0ED8E029"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Organizations can better protect themselves if they stay up to date with compliance requirements and have open communication with patients. By limiting conversations about patients in public, investing in the necessary technology, and training employees, organizations can remain compliant with HIPAA requirements.</w:t>
      </w:r>
    </w:p>
    <w:p w14:paraId="7F901CD5" w14:textId="77777777" w:rsidR="001D3694" w:rsidRPr="00535AA1" w:rsidRDefault="001D3694" w:rsidP="00D906D4">
      <w:pPr>
        <w:spacing w:before="240" w:after="240"/>
        <w:rPr>
          <w:rFonts w:ascii="Times New Roman" w:hAnsi="Times New Roman" w:cs="Times New Roman"/>
          <w:b/>
          <w:bCs/>
        </w:rPr>
      </w:pPr>
    </w:p>
    <w:p w14:paraId="311C494E" w14:textId="5D542158" w:rsidR="00D906D4" w:rsidRPr="00196A1F" w:rsidRDefault="00D906D4" w:rsidP="00196A1F">
      <w:pPr>
        <w:pStyle w:val="Heading1"/>
        <w:rPr>
          <w:rFonts w:ascii="Times New Roman" w:hAnsi="Times New Roman" w:cs="Times New Roman"/>
          <w:sz w:val="24"/>
          <w:szCs w:val="24"/>
        </w:rPr>
      </w:pPr>
      <w:bookmarkStart w:id="6" w:name="_Toc214644721"/>
      <w:r w:rsidRPr="00196A1F">
        <w:rPr>
          <w:rFonts w:ascii="Times New Roman" w:hAnsi="Times New Roman" w:cs="Times New Roman"/>
          <w:sz w:val="24"/>
          <w:szCs w:val="24"/>
        </w:rPr>
        <w:t>Case Study</w:t>
      </w:r>
      <w:bookmarkEnd w:id="6"/>
    </w:p>
    <w:p w14:paraId="253508F5"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The 2015 Anthem breach is one of the largest healthcare data breaches in U.S. history, and it shows how a lack of strong technical controls, legal compliance, and business practices can lead to consequences. Anthem stated that approximately 78.8 million current and former members </w:t>
      </w:r>
      <w:r w:rsidRPr="00D906D4">
        <w:rPr>
          <w:rFonts w:ascii="Times New Roman" w:hAnsi="Times New Roman" w:cs="Times New Roman"/>
        </w:rPr>
        <w:lastRenderedPageBreak/>
        <w:t>had personal information compromised when attackers gained access to their IT systems. The stolen information included “member names, member health identification numbers, date of birth, Social Security numbers, addresses, telephone numbers, email addresses, employment information, and income data” (California Department of Insurance, 2015). Although no medical data was stolen, enough personal information was exposed for identity theft.</w:t>
      </w:r>
    </w:p>
    <w:p w14:paraId="7EA56DC0"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The breach was discovered because a “database administrator noticed his credentials were being used without his knowledge or consent” (California Department of Insurance, 2015). Anthem then shut down access and required all users to reset their passwords immediately, but it was too late because attackers had already accessed millions of sensitive information. This breach affected “current and past enrollees dating back to 2004” (California Department of Insurance, 2015). This shows how long-term data retention policies, legacy systems, and not using monitoring systems can have huge impacts on an organization.</w:t>
      </w:r>
    </w:p>
    <w:p w14:paraId="2B705B48"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From a legal perspective, this breach shows the consequences of not adhering to HIPAA auditing. Although Anthem had policies and protections in place, regulators conducted Anthem’s IT systems and found that Anthem did not have strong access controls, a lack of risk analysis, or system monitoring, which are all required under the HIPAA Security Rule. This incident shows that even if an organization has policies in place, the lack of continuous auditing and monitoring can lead to HIPAA violations.</w:t>
      </w:r>
    </w:p>
    <w:p w14:paraId="106AAECD" w14:textId="4EA512AD"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From a business perspective, the damage was more than regulatory fines. Anthem lost the trust of policymakers on a national level. The  California Department of Insurance reported that “13.5 million records of Californians” were compromised. Anthem was forced to provide free identification services, including AllClear ID and credit monitoring, and encouraged people to be </w:t>
      </w:r>
      <w:r w:rsidRPr="00D906D4">
        <w:rPr>
          <w:rFonts w:ascii="Times New Roman" w:hAnsi="Times New Roman" w:cs="Times New Roman"/>
        </w:rPr>
        <w:lastRenderedPageBreak/>
        <w:t>on the lookout because they wouldn’t know if they were affected until Anthem sent an announcement. California’s Department of Insurance urged individuals to be aware of scam emails “designed to appear as if they are from</w:t>
      </w:r>
      <w:r w:rsidR="002500AC">
        <w:rPr>
          <w:rFonts w:ascii="Times New Roman" w:hAnsi="Times New Roman" w:cs="Times New Roman"/>
        </w:rPr>
        <w:t xml:space="preserve"> Anthem</w:t>
      </w:r>
      <w:r w:rsidRPr="00D906D4">
        <w:rPr>
          <w:rFonts w:ascii="Times New Roman" w:hAnsi="Times New Roman" w:cs="Times New Roman"/>
        </w:rPr>
        <w:t>…. are NOT from Anthem.” This shows how one breach can lead to business risks.</w:t>
      </w:r>
    </w:p>
    <w:p w14:paraId="67C0B98C"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Overall, the Anthem case demonstrates how gaps in technical protections, lack of monitoring, and HIPAA compliance can lead to security failures. This incident showed how important continuous auditing, monitoring, and strong authentication are for meeting HIPAA compliance requirements and maintaining patient trust.</w:t>
      </w:r>
    </w:p>
    <w:p w14:paraId="679B3036" w14:textId="77777777" w:rsidR="00D906D4" w:rsidRPr="00196A1F" w:rsidRDefault="00D906D4" w:rsidP="00196A1F">
      <w:pPr>
        <w:pStyle w:val="Heading1"/>
        <w:rPr>
          <w:rFonts w:ascii="Times New Roman" w:hAnsi="Times New Roman" w:cs="Times New Roman"/>
          <w:sz w:val="24"/>
          <w:szCs w:val="24"/>
        </w:rPr>
      </w:pPr>
      <w:bookmarkStart w:id="7" w:name="_Toc214644722"/>
      <w:r w:rsidRPr="00196A1F">
        <w:rPr>
          <w:rFonts w:ascii="Times New Roman" w:hAnsi="Times New Roman" w:cs="Times New Roman"/>
          <w:sz w:val="24"/>
          <w:szCs w:val="24"/>
        </w:rPr>
        <w:t>Recommendations</w:t>
      </w:r>
      <w:bookmarkEnd w:id="7"/>
    </w:p>
    <w:p w14:paraId="4795673A"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Improving HIPAA compliance requires a defense-in-depth approach that addresses technical controls, administrative processes, and business processes. First, implement continuous risk analysis/auditing. Conducting annual or quarterly risk assessments is no longer enough for interconnected healthcare systems. Organizations should adopt automated monitoring tools that detect anomalies and flag any violations in real time. A risk-based approach helps organizations focus on the systems that are more likely to expose sensitive information, like legacy systems.</w:t>
      </w:r>
    </w:p>
    <w:p w14:paraId="49A5ED38"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Second, strengthen access controls. Many breaches like Anthem’s begin with compromised credentials. Organizations should use stronger access control mechanisms like multifactor authentication (MFA) paired with least privilege, and deprovisioning access to unused accounts. Regular audits and system reviews help make sure that only authorized users always have access to protected health information.</w:t>
      </w:r>
    </w:p>
    <w:p w14:paraId="7D8A4C51" w14:textId="13CC7E63"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lastRenderedPageBreak/>
        <w:t xml:space="preserve">Third, improving cross-border data flows and investing in employee training. Due to the conflicts of international regulations, healthcare organizations must make sure that business associates and subcontractors go through risk assessments and show that they are compliant with HIPAA and any other related foreign laws. When outsourcing internationally, organizations should have </w:t>
      </w:r>
      <w:r w:rsidR="00334DDF">
        <w:rPr>
          <w:rFonts w:ascii="Times New Roman" w:hAnsi="Times New Roman" w:cs="Times New Roman"/>
        </w:rPr>
        <w:t xml:space="preserve">a </w:t>
      </w:r>
      <w:r w:rsidRPr="00D906D4">
        <w:rPr>
          <w:rFonts w:ascii="Times New Roman" w:hAnsi="Times New Roman" w:cs="Times New Roman"/>
        </w:rPr>
        <w:t xml:space="preserve">legal counsel </w:t>
      </w:r>
      <w:r w:rsidR="001D3694" w:rsidRPr="00535AA1">
        <w:rPr>
          <w:rFonts w:ascii="Times New Roman" w:hAnsi="Times New Roman" w:cs="Times New Roman"/>
        </w:rPr>
        <w:t>evaluat</w:t>
      </w:r>
      <w:r w:rsidR="00334DDF">
        <w:rPr>
          <w:rFonts w:ascii="Times New Roman" w:hAnsi="Times New Roman" w:cs="Times New Roman"/>
        </w:rPr>
        <w:t>e</w:t>
      </w:r>
      <w:r w:rsidRPr="00D906D4">
        <w:rPr>
          <w:rFonts w:ascii="Times New Roman" w:hAnsi="Times New Roman" w:cs="Times New Roman"/>
        </w:rPr>
        <w:t xml:space="preserve"> any conflicts between HIPAA and foreign regulations before allowing PHI to leave their country. Human errors are one of the most common causes of HIPAA violations. Healthcare organizations should conduct ongoing safe data handling and phishing awareness. Organizations should move to a culture of security is mandatory instead of it being a second thought.</w:t>
      </w:r>
    </w:p>
    <w:p w14:paraId="3D9EAA80"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Lastly, modernize technology, use compensating controls, and increase transparent communication with patients. Legacy systems introduce vulnerabilities that cannot always be patched immediately. When waiting for a patch, instead of leaving the affected system exposed to the main network, use network segmentation and vigorous monitoring. The Anthem case showed that patient trust can be lost faster than it can be regained. Healthcare organizations should provide clear, timely notifications following an incident, offer protection services, and maintain clear communication with patients about how their information is being protected.</w:t>
      </w:r>
    </w:p>
    <w:p w14:paraId="5EF4FCE9" w14:textId="47DB2F8E" w:rsidR="00540129" w:rsidRDefault="00D906D4" w:rsidP="002500AC">
      <w:pPr>
        <w:spacing w:before="240" w:after="240"/>
        <w:rPr>
          <w:rFonts w:ascii="Times New Roman" w:hAnsi="Times New Roman" w:cs="Times New Roman"/>
        </w:rPr>
      </w:pPr>
      <w:r w:rsidRPr="00D906D4">
        <w:rPr>
          <w:rFonts w:ascii="Times New Roman" w:hAnsi="Times New Roman" w:cs="Times New Roman"/>
        </w:rPr>
        <w:t>Together, these recommendations help organizations strengthen compliance auditing, become more resilient against cyberattacks, and build trust between patients and partners.</w:t>
      </w:r>
    </w:p>
    <w:p w14:paraId="0F8419FE" w14:textId="3C6DE4F2" w:rsidR="00D906D4" w:rsidRPr="00196A1F" w:rsidRDefault="00D906D4" w:rsidP="00196A1F">
      <w:pPr>
        <w:pStyle w:val="Heading1"/>
        <w:rPr>
          <w:rFonts w:ascii="Times New Roman" w:hAnsi="Times New Roman" w:cs="Times New Roman"/>
          <w:sz w:val="24"/>
          <w:szCs w:val="24"/>
        </w:rPr>
      </w:pPr>
      <w:bookmarkStart w:id="8" w:name="_Toc214644723"/>
      <w:r w:rsidRPr="00196A1F">
        <w:rPr>
          <w:rFonts w:ascii="Times New Roman" w:hAnsi="Times New Roman" w:cs="Times New Roman"/>
          <w:sz w:val="24"/>
          <w:szCs w:val="24"/>
        </w:rPr>
        <w:t>Conclusion</w:t>
      </w:r>
      <w:bookmarkEnd w:id="8"/>
    </w:p>
    <w:p w14:paraId="59E5D274" w14:textId="326FB9C3"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HIPAA is one of the most important regulatory frameworks for the privacy and security of health information in the U.S., but the healthcare threat landscape has changed since its creation. As organizations move to the cloud, outsource services, and collaborate internationally, the </w:t>
      </w:r>
      <w:r w:rsidRPr="00D906D4">
        <w:rPr>
          <w:rFonts w:ascii="Times New Roman" w:hAnsi="Times New Roman" w:cs="Times New Roman"/>
        </w:rPr>
        <w:lastRenderedPageBreak/>
        <w:t xml:space="preserve">challenge of meeting HIPAA compliance has increased. Technical issues such as legacy systems, overwhelming logs, and complex cloud platforms make auditing difficult. Legal challenges like inconsistent enforcement, cross-border restrictions, and conflicts between foreign privacy laws create uncertainty. Business challenges such as balancing compliance costs, aligning with business goals, and reputational risks </w:t>
      </w:r>
      <w:r w:rsidR="00535AA1" w:rsidRPr="00535AA1">
        <w:rPr>
          <w:rFonts w:ascii="Times New Roman" w:hAnsi="Times New Roman" w:cs="Times New Roman"/>
        </w:rPr>
        <w:t>complicat</w:t>
      </w:r>
      <w:r w:rsidR="00866119">
        <w:rPr>
          <w:rFonts w:ascii="Times New Roman" w:hAnsi="Times New Roman" w:cs="Times New Roman"/>
        </w:rPr>
        <w:t>e</w:t>
      </w:r>
      <w:r w:rsidRPr="00D906D4">
        <w:rPr>
          <w:rFonts w:ascii="Times New Roman" w:hAnsi="Times New Roman" w:cs="Times New Roman"/>
        </w:rPr>
        <w:t xml:space="preserve"> compliance.</w:t>
      </w:r>
    </w:p>
    <w:p w14:paraId="60C79A49"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The 2015 Anthem breach shows how these challenges can lead to disaster. Unauthorized access to their IT systems exposed millions of records, triggered national investigations, and broke patient trust. It is a reminder that compliance should not be a checklist but a continuous effort requiring accountability and investment in employees and technology.</w:t>
      </w:r>
    </w:p>
    <w:p w14:paraId="6476BCCE" w14:textId="0E0F1EFF"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The use of strong auditing practices, modern security controls, and a proactive approach </w:t>
      </w:r>
      <w:r w:rsidR="00597F9E">
        <w:rPr>
          <w:rFonts w:ascii="Times New Roman" w:hAnsi="Times New Roman" w:cs="Times New Roman"/>
        </w:rPr>
        <w:t xml:space="preserve">are </w:t>
      </w:r>
      <w:r w:rsidRPr="00D906D4">
        <w:rPr>
          <w:rFonts w:ascii="Times New Roman" w:hAnsi="Times New Roman" w:cs="Times New Roman"/>
        </w:rPr>
        <w:t xml:space="preserve">effective </w:t>
      </w:r>
      <w:r w:rsidR="001D3694" w:rsidRPr="00535AA1">
        <w:rPr>
          <w:rFonts w:ascii="Times New Roman" w:hAnsi="Times New Roman" w:cs="Times New Roman"/>
        </w:rPr>
        <w:t>ways</w:t>
      </w:r>
      <w:r w:rsidRPr="00D906D4">
        <w:rPr>
          <w:rFonts w:ascii="Times New Roman" w:hAnsi="Times New Roman" w:cs="Times New Roman"/>
        </w:rPr>
        <w:t xml:space="preserve"> to protect health information. By strengthening risk analysis, monitoring vendors, modernizing technology, and building a security-first posture, healthcare organizations can better protect patient data, reduce risk, and maintain patient trust is important to deliver the best care possible. As the threat landscape continues to evolve, so must the defenses against it.</w:t>
      </w:r>
    </w:p>
    <w:p w14:paraId="3A362652" w14:textId="77777777" w:rsidR="00D906D4" w:rsidRPr="00535AA1" w:rsidRDefault="00D906D4" w:rsidP="00535AA1">
      <w:pPr>
        <w:pStyle w:val="Heading1"/>
        <w:rPr>
          <w:rFonts w:ascii="Times New Roman" w:hAnsi="Times New Roman" w:cs="Times New Roman"/>
          <w:sz w:val="24"/>
          <w:szCs w:val="24"/>
        </w:rPr>
      </w:pPr>
      <w:bookmarkStart w:id="9" w:name="_Toc214644724"/>
      <w:r w:rsidRPr="00535AA1">
        <w:rPr>
          <w:rFonts w:ascii="Times New Roman" w:hAnsi="Times New Roman" w:cs="Times New Roman"/>
          <w:sz w:val="24"/>
          <w:szCs w:val="24"/>
        </w:rPr>
        <w:t>Reference</w:t>
      </w:r>
      <w:bookmarkEnd w:id="9"/>
    </w:p>
    <w:p w14:paraId="4A68D874"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Staff, F. (2025, May 28). </w:t>
      </w:r>
      <w:r w:rsidRPr="00D906D4">
        <w:rPr>
          <w:rFonts w:ascii="Times New Roman" w:hAnsi="Times New Roman" w:cs="Times New Roman"/>
          <w:i/>
          <w:iCs/>
        </w:rPr>
        <w:t>Before HIPAA, How Was Patient Confidentiality Handled?</w:t>
      </w:r>
      <w:r w:rsidRPr="00D906D4">
        <w:rPr>
          <w:rFonts w:ascii="Times New Roman" w:hAnsi="Times New Roman" w:cs="Times New Roman"/>
        </w:rPr>
        <w:t xml:space="preserve"> Askfeather.com; Feather AI.</w:t>
      </w:r>
      <w:hyperlink r:id="rId7" w:history="1">
        <w:r w:rsidRPr="00D906D4">
          <w:rPr>
            <w:rStyle w:val="Hyperlink"/>
            <w:rFonts w:ascii="Times New Roman" w:hAnsi="Times New Roman" w:cs="Times New Roman"/>
          </w:rPr>
          <w:t xml:space="preserve"> https://askfeather.com/resources/before-hipaa-how-was-patient-confidentiality-handled</w:t>
        </w:r>
      </w:hyperlink>
    </w:p>
    <w:p w14:paraId="3344AA9D"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 Edemekong, P., Haydel, M., &amp; Annamaraju, P. (2024). </w:t>
      </w:r>
      <w:r w:rsidRPr="00D906D4">
        <w:rPr>
          <w:rFonts w:ascii="Times New Roman" w:hAnsi="Times New Roman" w:cs="Times New Roman"/>
          <w:i/>
          <w:iCs/>
        </w:rPr>
        <w:t>Health Insurance Portability and Accountability Act (HIPAA)</w:t>
      </w:r>
      <w:r w:rsidRPr="00D906D4">
        <w:rPr>
          <w:rFonts w:ascii="Times New Roman" w:hAnsi="Times New Roman" w:cs="Times New Roman"/>
        </w:rPr>
        <w:t>. National Library of Medicine.</w:t>
      </w:r>
      <w:hyperlink r:id="rId8" w:history="1">
        <w:r w:rsidRPr="00D906D4">
          <w:rPr>
            <w:rStyle w:val="Hyperlink"/>
            <w:rFonts w:ascii="Times New Roman" w:hAnsi="Times New Roman" w:cs="Times New Roman"/>
          </w:rPr>
          <w:t xml:space="preserve"> https://www.ncbi.nlm.nih.gov/books/NBK500019/</w:t>
        </w:r>
      </w:hyperlink>
    </w:p>
    <w:p w14:paraId="6C522605"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lastRenderedPageBreak/>
        <w:t xml:space="preserve">U.S. Department of Health and Human Services. (2025, March 14). </w:t>
      </w:r>
      <w:r w:rsidRPr="00D906D4">
        <w:rPr>
          <w:rFonts w:ascii="Times New Roman" w:hAnsi="Times New Roman" w:cs="Times New Roman"/>
          <w:i/>
          <w:iCs/>
        </w:rPr>
        <w:t>Summary of the HIPAA privacy rule</w:t>
      </w:r>
      <w:r w:rsidRPr="00D906D4">
        <w:rPr>
          <w:rFonts w:ascii="Times New Roman" w:hAnsi="Times New Roman" w:cs="Times New Roman"/>
        </w:rPr>
        <w:t>. HHS.gov; U.S. Department of Health and Human Services.</w:t>
      </w:r>
      <w:hyperlink r:id="rId9" w:history="1">
        <w:r w:rsidRPr="00D906D4">
          <w:rPr>
            <w:rStyle w:val="Hyperlink"/>
            <w:rFonts w:ascii="Times New Roman" w:hAnsi="Times New Roman" w:cs="Times New Roman"/>
          </w:rPr>
          <w:t xml:space="preserve"> https://www.hhs.gov/hipaa/for-professionals/privacy/laws-regulations/index.html</w:t>
        </w:r>
      </w:hyperlink>
    </w:p>
    <w:p w14:paraId="2689779E"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U.S. Department of Health and Human Services. (2022, October 20). </w:t>
      </w:r>
      <w:r w:rsidRPr="00D906D4">
        <w:rPr>
          <w:rFonts w:ascii="Times New Roman" w:hAnsi="Times New Roman" w:cs="Times New Roman"/>
          <w:i/>
          <w:iCs/>
        </w:rPr>
        <w:t>The Security Rule</w:t>
      </w:r>
      <w:r w:rsidRPr="00D906D4">
        <w:rPr>
          <w:rFonts w:ascii="Times New Roman" w:hAnsi="Times New Roman" w:cs="Times New Roman"/>
        </w:rPr>
        <w:t>. HHS.gov.</w:t>
      </w:r>
      <w:hyperlink r:id="rId10" w:history="1">
        <w:r w:rsidRPr="00D906D4">
          <w:rPr>
            <w:rStyle w:val="Hyperlink"/>
            <w:rFonts w:ascii="Times New Roman" w:hAnsi="Times New Roman" w:cs="Times New Roman"/>
          </w:rPr>
          <w:t xml:space="preserve"> https://www.hhs.gov/hipaa/for-professionals/security/index.html</w:t>
        </w:r>
      </w:hyperlink>
    </w:p>
    <w:p w14:paraId="02BEAE29"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American Medical Association. (n.d.). </w:t>
      </w:r>
      <w:r w:rsidRPr="00D906D4">
        <w:rPr>
          <w:rFonts w:ascii="Times New Roman" w:hAnsi="Times New Roman" w:cs="Times New Roman"/>
          <w:i/>
          <w:iCs/>
        </w:rPr>
        <w:t>HIPAA security rule &amp; risk analysis</w:t>
      </w:r>
      <w:r w:rsidRPr="00D906D4">
        <w:rPr>
          <w:rFonts w:ascii="Times New Roman" w:hAnsi="Times New Roman" w:cs="Times New Roman"/>
        </w:rPr>
        <w:t>. American Medical Association.</w:t>
      </w:r>
      <w:hyperlink r:id="rId11" w:history="1">
        <w:r w:rsidRPr="00D906D4">
          <w:rPr>
            <w:rStyle w:val="Hyperlink"/>
            <w:rFonts w:ascii="Times New Roman" w:hAnsi="Times New Roman" w:cs="Times New Roman"/>
          </w:rPr>
          <w:t xml:space="preserve"> https://www.ama-assn.org/practice-management/hipaa/hipaa-security-rule-risk-analysis</w:t>
        </w:r>
      </w:hyperlink>
    </w:p>
    <w:p w14:paraId="682C127D"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Lopez, D. (2021, November 2). </w:t>
      </w:r>
      <w:r w:rsidRPr="00D906D4">
        <w:rPr>
          <w:rFonts w:ascii="Times New Roman" w:hAnsi="Times New Roman" w:cs="Times New Roman"/>
          <w:i/>
          <w:iCs/>
        </w:rPr>
        <w:t>Important HIPAA Compliance Considerations for Legacy Software and Devices</w:t>
      </w:r>
      <w:r w:rsidRPr="00D906D4">
        <w:rPr>
          <w:rFonts w:ascii="Times New Roman" w:hAnsi="Times New Roman" w:cs="Times New Roman"/>
        </w:rPr>
        <w:t xml:space="preserve"> [Review of </w:t>
      </w:r>
      <w:r w:rsidRPr="00D906D4">
        <w:rPr>
          <w:rFonts w:ascii="Times New Roman" w:hAnsi="Times New Roman" w:cs="Times New Roman"/>
          <w:i/>
          <w:iCs/>
        </w:rPr>
        <w:t>Important HIPAA Compliance Considerations for Legacy Software and Devices</w:t>
      </w:r>
      <w:r w:rsidRPr="00D906D4">
        <w:rPr>
          <w:rFonts w:ascii="Times New Roman" w:hAnsi="Times New Roman" w:cs="Times New Roman"/>
        </w:rPr>
        <w:t>]. ComplianceJuncton.</w:t>
      </w:r>
      <w:hyperlink r:id="rId12" w:history="1">
        <w:r w:rsidRPr="00D906D4">
          <w:rPr>
            <w:rStyle w:val="Hyperlink"/>
            <w:rFonts w:ascii="Times New Roman" w:hAnsi="Times New Roman" w:cs="Times New Roman"/>
          </w:rPr>
          <w:t xml:space="preserve"> https://www.compliancejunction.com/important-hipaa-compliance-considerations-for-legacy-software-and-devices/</w:t>
        </w:r>
      </w:hyperlink>
    </w:p>
    <w:p w14:paraId="7DCE3D12"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Alder, S. (2025, September 11). </w:t>
      </w:r>
      <w:r w:rsidRPr="00D906D4">
        <w:rPr>
          <w:rFonts w:ascii="Times New Roman" w:hAnsi="Times New Roman" w:cs="Times New Roman"/>
          <w:i/>
          <w:iCs/>
        </w:rPr>
        <w:t>HIPAA Compliance Challenges for Small Medical Practices</w:t>
      </w:r>
      <w:r w:rsidRPr="00D906D4">
        <w:rPr>
          <w:rFonts w:ascii="Times New Roman" w:hAnsi="Times New Roman" w:cs="Times New Roman"/>
        </w:rPr>
        <w:t>. The HIPAA Journal.</w:t>
      </w:r>
      <w:hyperlink r:id="rId13" w:history="1">
        <w:r w:rsidRPr="00D906D4">
          <w:rPr>
            <w:rStyle w:val="Hyperlink"/>
            <w:rFonts w:ascii="Times New Roman" w:hAnsi="Times New Roman" w:cs="Times New Roman"/>
          </w:rPr>
          <w:t xml:space="preserve"> https://www.hipaajournal.com/editorial-hipaacompliance-challenges-small-medical-practices/</w:t>
        </w:r>
      </w:hyperlink>
    </w:p>
    <w:p w14:paraId="6C09CF73"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Alder, S. (2023, September 22). </w:t>
      </w:r>
      <w:r w:rsidRPr="00D906D4">
        <w:rPr>
          <w:rFonts w:ascii="Times New Roman" w:hAnsi="Times New Roman" w:cs="Times New Roman"/>
          <w:i/>
          <w:iCs/>
        </w:rPr>
        <w:t>Healthcare Cloud Usage Grows But Protecting PHI Can Be a Challenge</w:t>
      </w:r>
      <w:r w:rsidRPr="00D906D4">
        <w:rPr>
          <w:rFonts w:ascii="Times New Roman" w:hAnsi="Times New Roman" w:cs="Times New Roman"/>
        </w:rPr>
        <w:t>. The HIPAA Journal.</w:t>
      </w:r>
      <w:hyperlink r:id="rId14" w:history="1">
        <w:r w:rsidRPr="00D906D4">
          <w:rPr>
            <w:rStyle w:val="Hyperlink"/>
            <w:rFonts w:ascii="Times New Roman" w:hAnsi="Times New Roman" w:cs="Times New Roman"/>
          </w:rPr>
          <w:t xml:space="preserve"> https://www.hipaajournal.com/healthcare-cloud-usage-grows-but-protecting-phi-can-be-a-challenge/</w:t>
        </w:r>
      </w:hyperlink>
    </w:p>
    <w:p w14:paraId="4F686EFB"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 Office for Civil Rights (OCR). (2016, October 6). </w:t>
      </w:r>
      <w:r w:rsidRPr="00D906D4">
        <w:rPr>
          <w:rFonts w:ascii="Times New Roman" w:hAnsi="Times New Roman" w:cs="Times New Roman"/>
          <w:i/>
          <w:iCs/>
        </w:rPr>
        <w:t>Cloud Computing</w:t>
      </w:r>
      <w:r w:rsidRPr="00D906D4">
        <w:rPr>
          <w:rFonts w:ascii="Times New Roman" w:hAnsi="Times New Roman" w:cs="Times New Roman"/>
        </w:rPr>
        <w:t>. HHS.gov.</w:t>
      </w:r>
      <w:hyperlink r:id="rId15" w:history="1">
        <w:r w:rsidRPr="00D906D4">
          <w:rPr>
            <w:rStyle w:val="Hyperlink"/>
            <w:rFonts w:ascii="Times New Roman" w:hAnsi="Times New Roman" w:cs="Times New Roman"/>
          </w:rPr>
          <w:t xml:space="preserve"> https://www.hhs.gov/hipaa/for-professionals/special-topics/health-information-technology/cloud-computing/index.html</w:t>
        </w:r>
      </w:hyperlink>
    </w:p>
    <w:p w14:paraId="747664ED"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lastRenderedPageBreak/>
        <w:t xml:space="preserve">‌ Chan, H. Y., Toh, H. J., &amp; Lysaght, T. (2024). Cross-jurisdictional Data Transfer in Health Research: Stakeholder Perceptions on the Role of Law. </w:t>
      </w:r>
      <w:r w:rsidRPr="00D906D4">
        <w:rPr>
          <w:rFonts w:ascii="Times New Roman" w:hAnsi="Times New Roman" w:cs="Times New Roman"/>
          <w:i/>
          <w:iCs/>
        </w:rPr>
        <w:t>Asian Bioethics Review</w:t>
      </w:r>
      <w:r w:rsidRPr="00D906D4">
        <w:rPr>
          <w:rFonts w:ascii="Times New Roman" w:hAnsi="Times New Roman" w:cs="Times New Roman"/>
        </w:rPr>
        <w:t xml:space="preserve">, </w:t>
      </w:r>
      <w:r w:rsidRPr="00D906D4">
        <w:rPr>
          <w:rFonts w:ascii="Times New Roman" w:hAnsi="Times New Roman" w:cs="Times New Roman"/>
          <w:i/>
          <w:iCs/>
        </w:rPr>
        <w:t>16</w:t>
      </w:r>
      <w:r w:rsidRPr="00D906D4">
        <w:rPr>
          <w:rFonts w:ascii="Times New Roman" w:hAnsi="Times New Roman" w:cs="Times New Roman"/>
        </w:rPr>
        <w:t>(4), 663–682.</w:t>
      </w:r>
      <w:hyperlink r:id="rId16" w:history="1">
        <w:r w:rsidRPr="00D906D4">
          <w:rPr>
            <w:rStyle w:val="Hyperlink"/>
            <w:rFonts w:ascii="Times New Roman" w:hAnsi="Times New Roman" w:cs="Times New Roman"/>
          </w:rPr>
          <w:t xml:space="preserve"> https://doi.org/10.1007/s41649-024-00283-8</w:t>
        </w:r>
      </w:hyperlink>
    </w:p>
    <w:p w14:paraId="7D0ADED1"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Alder, S. (2022, October 21). </w:t>
      </w:r>
      <w:r w:rsidRPr="00D906D4">
        <w:rPr>
          <w:rFonts w:ascii="Times New Roman" w:hAnsi="Times New Roman" w:cs="Times New Roman"/>
          <w:i/>
          <w:iCs/>
        </w:rPr>
        <w:t>Editorial: 5 Gaps in HIPAA and How They Are Being Filled</w:t>
      </w:r>
      <w:r w:rsidRPr="00D906D4">
        <w:rPr>
          <w:rFonts w:ascii="Times New Roman" w:hAnsi="Times New Roman" w:cs="Times New Roman"/>
        </w:rPr>
        <w:t>. HIPAA Journal.</w:t>
      </w:r>
      <w:hyperlink r:id="rId17" w:history="1">
        <w:r w:rsidRPr="00D906D4">
          <w:rPr>
            <w:rStyle w:val="Hyperlink"/>
            <w:rFonts w:ascii="Times New Roman" w:hAnsi="Times New Roman" w:cs="Times New Roman"/>
          </w:rPr>
          <w:t xml:space="preserve"> https://www.hipaajournal.com/5-gaps-hipaa-how-being-filled/</w:t>
        </w:r>
      </w:hyperlink>
    </w:p>
    <w:p w14:paraId="2512E88C"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Anthoney, C. (2024, December 15). </w:t>
      </w:r>
      <w:r w:rsidRPr="00D906D4">
        <w:rPr>
          <w:rFonts w:ascii="Times New Roman" w:hAnsi="Times New Roman" w:cs="Times New Roman"/>
          <w:i/>
          <w:iCs/>
        </w:rPr>
        <w:t>International outsourcing and HIPAA compliance</w:t>
      </w:r>
      <w:r w:rsidRPr="00D906D4">
        <w:rPr>
          <w:rFonts w:ascii="Times New Roman" w:hAnsi="Times New Roman" w:cs="Times New Roman"/>
        </w:rPr>
        <w:t>. Hipaatimes.com; Paubox.</w:t>
      </w:r>
      <w:hyperlink r:id="rId18" w:history="1">
        <w:r w:rsidRPr="00D906D4">
          <w:rPr>
            <w:rStyle w:val="Hyperlink"/>
            <w:rFonts w:ascii="Times New Roman" w:hAnsi="Times New Roman" w:cs="Times New Roman"/>
          </w:rPr>
          <w:t xml:space="preserve"> https://hipaatimes.com/international-outsourcing-and-hipaa-compliance</w:t>
        </w:r>
      </w:hyperlink>
    </w:p>
    <w:p w14:paraId="616FF6A2"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xml:space="preserve">California Department of Insurance. (2015). </w:t>
      </w:r>
      <w:r w:rsidRPr="00D906D4">
        <w:rPr>
          <w:rFonts w:ascii="Times New Roman" w:hAnsi="Times New Roman" w:cs="Times New Roman"/>
          <w:i/>
          <w:iCs/>
        </w:rPr>
        <w:t>Consumer information on Anthem Blue Cross data breach</w:t>
      </w:r>
      <w:r w:rsidRPr="00D906D4">
        <w:rPr>
          <w:rFonts w:ascii="Times New Roman" w:hAnsi="Times New Roman" w:cs="Times New Roman"/>
        </w:rPr>
        <w:t>. Www.insurance.ca.gov.</w:t>
      </w:r>
      <w:hyperlink r:id="rId19" w:history="1">
        <w:r w:rsidRPr="00D906D4">
          <w:rPr>
            <w:rStyle w:val="Hyperlink"/>
            <w:rFonts w:ascii="Times New Roman" w:hAnsi="Times New Roman" w:cs="Times New Roman"/>
          </w:rPr>
          <w:t xml:space="preserve"> https://www.insurance.ca.gov/0400-news/0100-press-releases/anthemcyberattack.cfm</w:t>
        </w:r>
      </w:hyperlink>
    </w:p>
    <w:p w14:paraId="1F559266"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w:t>
      </w:r>
    </w:p>
    <w:p w14:paraId="30DE1BF6"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w:t>
      </w:r>
    </w:p>
    <w:p w14:paraId="53E37C17"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 </w:t>
      </w:r>
    </w:p>
    <w:p w14:paraId="591C6262" w14:textId="77777777" w:rsidR="00D906D4" w:rsidRPr="00D906D4" w:rsidRDefault="00D906D4" w:rsidP="00D906D4">
      <w:pPr>
        <w:spacing w:before="240" w:after="240"/>
        <w:rPr>
          <w:rFonts w:ascii="Times New Roman" w:hAnsi="Times New Roman" w:cs="Times New Roman"/>
        </w:rPr>
      </w:pPr>
      <w:r w:rsidRPr="00D906D4">
        <w:rPr>
          <w:rFonts w:ascii="Times New Roman" w:hAnsi="Times New Roman" w:cs="Times New Roman"/>
        </w:rPr>
        <w:t>‌</w:t>
      </w:r>
    </w:p>
    <w:p w14:paraId="2C078E63" w14:textId="23F69CAC" w:rsidR="00CA6C01" w:rsidRDefault="00CA6C01" w:rsidP="008C68F6">
      <w:pPr>
        <w:spacing w:before="240" w:after="240"/>
      </w:pPr>
    </w:p>
    <w:sectPr w:rsidR="00CA6C01">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E89A3" w14:textId="77777777" w:rsidR="00187758" w:rsidRDefault="00187758">
      <w:pPr>
        <w:spacing w:after="0" w:line="240" w:lineRule="auto"/>
      </w:pPr>
      <w:r>
        <w:separator/>
      </w:r>
    </w:p>
  </w:endnote>
  <w:endnote w:type="continuationSeparator" w:id="0">
    <w:p w14:paraId="1B678E73" w14:textId="77777777" w:rsidR="00187758" w:rsidRDefault="00187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FA283CB" w14:paraId="5BBA3C8B" w14:textId="77777777" w:rsidTr="6FA283CB">
      <w:trPr>
        <w:trHeight w:val="300"/>
      </w:trPr>
      <w:tc>
        <w:tcPr>
          <w:tcW w:w="3120" w:type="dxa"/>
        </w:tcPr>
        <w:p w14:paraId="1707BF75" w14:textId="1F56DBA8" w:rsidR="6FA283CB" w:rsidRDefault="6FA283CB" w:rsidP="6FA283CB">
          <w:pPr>
            <w:pStyle w:val="Header"/>
            <w:ind w:left="-115"/>
          </w:pPr>
        </w:p>
      </w:tc>
      <w:tc>
        <w:tcPr>
          <w:tcW w:w="3120" w:type="dxa"/>
        </w:tcPr>
        <w:p w14:paraId="40FA81CB" w14:textId="46808F79" w:rsidR="6FA283CB" w:rsidRDefault="6FA283CB" w:rsidP="6FA283CB">
          <w:pPr>
            <w:pStyle w:val="Header"/>
            <w:jc w:val="center"/>
          </w:pPr>
        </w:p>
      </w:tc>
      <w:tc>
        <w:tcPr>
          <w:tcW w:w="3120" w:type="dxa"/>
        </w:tcPr>
        <w:p w14:paraId="3A1E2151" w14:textId="76A38631" w:rsidR="6FA283CB" w:rsidRDefault="6FA283CB" w:rsidP="6FA283CB">
          <w:pPr>
            <w:pStyle w:val="Header"/>
            <w:ind w:right="-115"/>
            <w:jc w:val="right"/>
          </w:pPr>
        </w:p>
      </w:tc>
    </w:tr>
  </w:tbl>
  <w:p w14:paraId="73B07DA1" w14:textId="32040628" w:rsidR="6FA283CB" w:rsidRDefault="6FA283CB" w:rsidP="6FA283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5BDEA" w14:textId="77777777" w:rsidR="00187758" w:rsidRDefault="00187758">
      <w:pPr>
        <w:spacing w:after="0" w:line="240" w:lineRule="auto"/>
      </w:pPr>
      <w:r>
        <w:separator/>
      </w:r>
    </w:p>
  </w:footnote>
  <w:footnote w:type="continuationSeparator" w:id="0">
    <w:p w14:paraId="08DDD021" w14:textId="77777777" w:rsidR="00187758" w:rsidRDefault="00187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FA283CB" w14:paraId="70940C75" w14:textId="77777777" w:rsidTr="6FA283CB">
      <w:trPr>
        <w:trHeight w:val="300"/>
      </w:trPr>
      <w:tc>
        <w:tcPr>
          <w:tcW w:w="3120" w:type="dxa"/>
        </w:tcPr>
        <w:p w14:paraId="1F626AC8" w14:textId="3116DFBE" w:rsidR="6FA283CB" w:rsidRDefault="6FA283CB" w:rsidP="6FA283CB">
          <w:pPr>
            <w:pStyle w:val="Header"/>
            <w:ind w:left="-115"/>
          </w:pPr>
        </w:p>
      </w:tc>
      <w:tc>
        <w:tcPr>
          <w:tcW w:w="3120" w:type="dxa"/>
        </w:tcPr>
        <w:p w14:paraId="05B6A8B9" w14:textId="7CAF9923" w:rsidR="6FA283CB" w:rsidRDefault="6FA283CB" w:rsidP="6FA283CB">
          <w:pPr>
            <w:pStyle w:val="Header"/>
            <w:jc w:val="center"/>
          </w:pPr>
        </w:p>
      </w:tc>
      <w:tc>
        <w:tcPr>
          <w:tcW w:w="3120" w:type="dxa"/>
        </w:tcPr>
        <w:p w14:paraId="6525560F" w14:textId="5B241907" w:rsidR="6FA283CB" w:rsidRDefault="6FA283CB" w:rsidP="6FA283CB">
          <w:pPr>
            <w:pStyle w:val="Header"/>
            <w:ind w:right="-115"/>
            <w:jc w:val="right"/>
          </w:pPr>
        </w:p>
      </w:tc>
    </w:tr>
  </w:tbl>
  <w:p w14:paraId="4A7EB970" w14:textId="68D2C608" w:rsidR="6FA283CB" w:rsidRDefault="6FA283CB" w:rsidP="6FA283CB">
    <w:pPr>
      <w:pStyle w:val="Header"/>
    </w:pPr>
  </w:p>
</w:hdr>
</file>

<file path=word/intelligence2.xml><?xml version="1.0" encoding="utf-8"?>
<int2:intelligence xmlns:int2="http://schemas.microsoft.com/office/intelligence/2020/intelligence" xmlns:oel="http://schemas.microsoft.com/office/2019/extlst">
  <int2:observations>
    <int2:textHash int2:hashCode="kuku5Ek2vmv0CX" int2:id="ScSYn1OR">
      <int2:state int2:value="Rejected" int2:type="spell"/>
    </int2:textHash>
    <int2:textHash int2:hashCode="zMKgVcAE/rc0sA" int2:id="TlXHeCjz">
      <int2:state int2:value="Rejected" int2:type="spell"/>
    </int2:textHash>
    <int2:textHash int2:hashCode="f7LPj//kqdm8m9" int2:id="cKhaG3DB">
      <int2:state int2:value="Rejected" int2:type="spell"/>
    </int2:textHash>
    <int2:textHash int2:hashCode="8vTdyOFVVq+7pJ" int2:id="zaw5C20n">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5C65B9"/>
    <w:rsid w:val="0000261D"/>
    <w:rsid w:val="00011F49"/>
    <w:rsid w:val="00014E5D"/>
    <w:rsid w:val="00014ED4"/>
    <w:rsid w:val="00016136"/>
    <w:rsid w:val="00016528"/>
    <w:rsid w:val="000207BD"/>
    <w:rsid w:val="0002415E"/>
    <w:rsid w:val="00031310"/>
    <w:rsid w:val="000401F8"/>
    <w:rsid w:val="000431EC"/>
    <w:rsid w:val="000520F2"/>
    <w:rsid w:val="000552F3"/>
    <w:rsid w:val="00063BD1"/>
    <w:rsid w:val="00065BB3"/>
    <w:rsid w:val="00076584"/>
    <w:rsid w:val="000819A4"/>
    <w:rsid w:val="0008648D"/>
    <w:rsid w:val="00090174"/>
    <w:rsid w:val="000A08BF"/>
    <w:rsid w:val="000A3669"/>
    <w:rsid w:val="000A5A40"/>
    <w:rsid w:val="000A5B48"/>
    <w:rsid w:val="000B04FF"/>
    <w:rsid w:val="000B7941"/>
    <w:rsid w:val="000C1BEA"/>
    <w:rsid w:val="000D025F"/>
    <w:rsid w:val="000D43DA"/>
    <w:rsid w:val="000E6556"/>
    <w:rsid w:val="000F31CC"/>
    <w:rsid w:val="000F5FC2"/>
    <w:rsid w:val="00103AD2"/>
    <w:rsid w:val="001121CB"/>
    <w:rsid w:val="001213A0"/>
    <w:rsid w:val="00123404"/>
    <w:rsid w:val="001274E0"/>
    <w:rsid w:val="00141A90"/>
    <w:rsid w:val="00142E3D"/>
    <w:rsid w:val="0014719B"/>
    <w:rsid w:val="00154119"/>
    <w:rsid w:val="001619CA"/>
    <w:rsid w:val="00166EA2"/>
    <w:rsid w:val="00167820"/>
    <w:rsid w:val="0017037A"/>
    <w:rsid w:val="0017392D"/>
    <w:rsid w:val="00176F4D"/>
    <w:rsid w:val="00185895"/>
    <w:rsid w:val="00187758"/>
    <w:rsid w:val="00187DE3"/>
    <w:rsid w:val="00195DFF"/>
    <w:rsid w:val="00196A1F"/>
    <w:rsid w:val="001B20E3"/>
    <w:rsid w:val="001B2BE7"/>
    <w:rsid w:val="001B690B"/>
    <w:rsid w:val="001C5302"/>
    <w:rsid w:val="001D3694"/>
    <w:rsid w:val="001D6236"/>
    <w:rsid w:val="001D7492"/>
    <w:rsid w:val="001E5E61"/>
    <w:rsid w:val="001F40FE"/>
    <w:rsid w:val="00204978"/>
    <w:rsid w:val="00211E20"/>
    <w:rsid w:val="00222E35"/>
    <w:rsid w:val="0022552C"/>
    <w:rsid w:val="0023170C"/>
    <w:rsid w:val="00232A93"/>
    <w:rsid w:val="00236E11"/>
    <w:rsid w:val="0024405C"/>
    <w:rsid w:val="002500AC"/>
    <w:rsid w:val="002717B7"/>
    <w:rsid w:val="00283E4C"/>
    <w:rsid w:val="00284284"/>
    <w:rsid w:val="00285C9B"/>
    <w:rsid w:val="0029589D"/>
    <w:rsid w:val="002A292E"/>
    <w:rsid w:val="002A2ED9"/>
    <w:rsid w:val="002A5FAC"/>
    <w:rsid w:val="002A68B4"/>
    <w:rsid w:val="002B121B"/>
    <w:rsid w:val="002B4451"/>
    <w:rsid w:val="002B74F4"/>
    <w:rsid w:val="002B7659"/>
    <w:rsid w:val="002C4AEB"/>
    <w:rsid w:val="002E2704"/>
    <w:rsid w:val="002E29F0"/>
    <w:rsid w:val="002E54EE"/>
    <w:rsid w:val="002F050F"/>
    <w:rsid w:val="002F45F6"/>
    <w:rsid w:val="002F76A4"/>
    <w:rsid w:val="00300A40"/>
    <w:rsid w:val="00316FC8"/>
    <w:rsid w:val="00323415"/>
    <w:rsid w:val="00334DDF"/>
    <w:rsid w:val="00336295"/>
    <w:rsid w:val="0034059E"/>
    <w:rsid w:val="00346C13"/>
    <w:rsid w:val="003500C7"/>
    <w:rsid w:val="00353C07"/>
    <w:rsid w:val="003572D1"/>
    <w:rsid w:val="003618A3"/>
    <w:rsid w:val="003712A6"/>
    <w:rsid w:val="00373D57"/>
    <w:rsid w:val="00377ECE"/>
    <w:rsid w:val="003800C1"/>
    <w:rsid w:val="003851E5"/>
    <w:rsid w:val="00393BE3"/>
    <w:rsid w:val="003A058D"/>
    <w:rsid w:val="003C033F"/>
    <w:rsid w:val="003C250C"/>
    <w:rsid w:val="003D095C"/>
    <w:rsid w:val="003D0A98"/>
    <w:rsid w:val="003F39D1"/>
    <w:rsid w:val="00400ED3"/>
    <w:rsid w:val="004162DE"/>
    <w:rsid w:val="00423451"/>
    <w:rsid w:val="00424240"/>
    <w:rsid w:val="00424E69"/>
    <w:rsid w:val="0043336B"/>
    <w:rsid w:val="00434900"/>
    <w:rsid w:val="00435656"/>
    <w:rsid w:val="00442146"/>
    <w:rsid w:val="004559E7"/>
    <w:rsid w:val="00462C85"/>
    <w:rsid w:val="00471EFD"/>
    <w:rsid w:val="0047302F"/>
    <w:rsid w:val="0047357A"/>
    <w:rsid w:val="00492E70"/>
    <w:rsid w:val="00495BA5"/>
    <w:rsid w:val="004964EE"/>
    <w:rsid w:val="004B1E6B"/>
    <w:rsid w:val="004B4FF1"/>
    <w:rsid w:val="004B5942"/>
    <w:rsid w:val="004C439F"/>
    <w:rsid w:val="004E35BD"/>
    <w:rsid w:val="004E36CA"/>
    <w:rsid w:val="004F6937"/>
    <w:rsid w:val="00503907"/>
    <w:rsid w:val="00511453"/>
    <w:rsid w:val="00512465"/>
    <w:rsid w:val="00515BE0"/>
    <w:rsid w:val="00535AA1"/>
    <w:rsid w:val="00540129"/>
    <w:rsid w:val="00552384"/>
    <w:rsid w:val="005570CD"/>
    <w:rsid w:val="00557138"/>
    <w:rsid w:val="00566D36"/>
    <w:rsid w:val="0057285D"/>
    <w:rsid w:val="00577DAE"/>
    <w:rsid w:val="005839F9"/>
    <w:rsid w:val="00597F9E"/>
    <w:rsid w:val="005B5B46"/>
    <w:rsid w:val="005B6048"/>
    <w:rsid w:val="005B6372"/>
    <w:rsid w:val="005B6812"/>
    <w:rsid w:val="005C3331"/>
    <w:rsid w:val="005D089E"/>
    <w:rsid w:val="005D0E59"/>
    <w:rsid w:val="005D1BA0"/>
    <w:rsid w:val="005D64FC"/>
    <w:rsid w:val="005D79EF"/>
    <w:rsid w:val="005E10D1"/>
    <w:rsid w:val="005E33D2"/>
    <w:rsid w:val="005E69CE"/>
    <w:rsid w:val="005F41CF"/>
    <w:rsid w:val="00602142"/>
    <w:rsid w:val="006028FE"/>
    <w:rsid w:val="006067DC"/>
    <w:rsid w:val="0061464D"/>
    <w:rsid w:val="006146E0"/>
    <w:rsid w:val="00621E35"/>
    <w:rsid w:val="0063163A"/>
    <w:rsid w:val="0063657F"/>
    <w:rsid w:val="00650FBD"/>
    <w:rsid w:val="00652FAF"/>
    <w:rsid w:val="00653B7B"/>
    <w:rsid w:val="00654507"/>
    <w:rsid w:val="00656AF3"/>
    <w:rsid w:val="006622FC"/>
    <w:rsid w:val="006624A5"/>
    <w:rsid w:val="006702B9"/>
    <w:rsid w:val="0067468E"/>
    <w:rsid w:val="00680092"/>
    <w:rsid w:val="00680BB8"/>
    <w:rsid w:val="00686E71"/>
    <w:rsid w:val="006908CC"/>
    <w:rsid w:val="00691792"/>
    <w:rsid w:val="006A0450"/>
    <w:rsid w:val="006A21FB"/>
    <w:rsid w:val="006A31D6"/>
    <w:rsid w:val="006A37ED"/>
    <w:rsid w:val="006B4264"/>
    <w:rsid w:val="006C4575"/>
    <w:rsid w:val="006C54FA"/>
    <w:rsid w:val="006C56EC"/>
    <w:rsid w:val="006D420C"/>
    <w:rsid w:val="006D48E1"/>
    <w:rsid w:val="007013CD"/>
    <w:rsid w:val="0070293B"/>
    <w:rsid w:val="0070354D"/>
    <w:rsid w:val="00706C3C"/>
    <w:rsid w:val="007078F9"/>
    <w:rsid w:val="00716A31"/>
    <w:rsid w:val="00732E22"/>
    <w:rsid w:val="00737FE6"/>
    <w:rsid w:val="007423A7"/>
    <w:rsid w:val="0074343B"/>
    <w:rsid w:val="007509F4"/>
    <w:rsid w:val="00750AB8"/>
    <w:rsid w:val="007556C2"/>
    <w:rsid w:val="00755F34"/>
    <w:rsid w:val="00765DC7"/>
    <w:rsid w:val="0077718A"/>
    <w:rsid w:val="00785A97"/>
    <w:rsid w:val="00785E18"/>
    <w:rsid w:val="00786EC6"/>
    <w:rsid w:val="0079075A"/>
    <w:rsid w:val="00792782"/>
    <w:rsid w:val="00793CE0"/>
    <w:rsid w:val="00793F47"/>
    <w:rsid w:val="00797CD2"/>
    <w:rsid w:val="007A2AC0"/>
    <w:rsid w:val="007A456C"/>
    <w:rsid w:val="007A485E"/>
    <w:rsid w:val="007A6596"/>
    <w:rsid w:val="007B6B0F"/>
    <w:rsid w:val="007C1764"/>
    <w:rsid w:val="007D273B"/>
    <w:rsid w:val="007D61D4"/>
    <w:rsid w:val="007E02F0"/>
    <w:rsid w:val="007E6135"/>
    <w:rsid w:val="007F792B"/>
    <w:rsid w:val="00802B4B"/>
    <w:rsid w:val="0081304D"/>
    <w:rsid w:val="008148D4"/>
    <w:rsid w:val="0082131B"/>
    <w:rsid w:val="0082255B"/>
    <w:rsid w:val="00833672"/>
    <w:rsid w:val="0083431B"/>
    <w:rsid w:val="00844805"/>
    <w:rsid w:val="00847BC4"/>
    <w:rsid w:val="0085703F"/>
    <w:rsid w:val="00866119"/>
    <w:rsid w:val="008729A7"/>
    <w:rsid w:val="008921CE"/>
    <w:rsid w:val="00894A40"/>
    <w:rsid w:val="008A0045"/>
    <w:rsid w:val="008A2F02"/>
    <w:rsid w:val="008B2210"/>
    <w:rsid w:val="008B69B8"/>
    <w:rsid w:val="008C5449"/>
    <w:rsid w:val="008C68F6"/>
    <w:rsid w:val="008D1523"/>
    <w:rsid w:val="008D24B8"/>
    <w:rsid w:val="008F0C28"/>
    <w:rsid w:val="008F64EF"/>
    <w:rsid w:val="008F719C"/>
    <w:rsid w:val="00900D33"/>
    <w:rsid w:val="009228C3"/>
    <w:rsid w:val="00927E4B"/>
    <w:rsid w:val="009358B8"/>
    <w:rsid w:val="009428DD"/>
    <w:rsid w:val="00946FE8"/>
    <w:rsid w:val="00950783"/>
    <w:rsid w:val="00950C83"/>
    <w:rsid w:val="00956D45"/>
    <w:rsid w:val="009657F5"/>
    <w:rsid w:val="00966DFA"/>
    <w:rsid w:val="00970FD9"/>
    <w:rsid w:val="0097138B"/>
    <w:rsid w:val="00972F9A"/>
    <w:rsid w:val="009732F3"/>
    <w:rsid w:val="0097547D"/>
    <w:rsid w:val="00981618"/>
    <w:rsid w:val="009821AC"/>
    <w:rsid w:val="0098280C"/>
    <w:rsid w:val="0098497B"/>
    <w:rsid w:val="00990480"/>
    <w:rsid w:val="00990DB7"/>
    <w:rsid w:val="00992F4A"/>
    <w:rsid w:val="009A2CCB"/>
    <w:rsid w:val="009A58B5"/>
    <w:rsid w:val="009B7EBE"/>
    <w:rsid w:val="009C71D9"/>
    <w:rsid w:val="009E5A06"/>
    <w:rsid w:val="009F2C67"/>
    <w:rsid w:val="00A029F5"/>
    <w:rsid w:val="00A052A5"/>
    <w:rsid w:val="00A0796B"/>
    <w:rsid w:val="00A10F0F"/>
    <w:rsid w:val="00A12078"/>
    <w:rsid w:val="00A275B3"/>
    <w:rsid w:val="00A30CF1"/>
    <w:rsid w:val="00A31605"/>
    <w:rsid w:val="00A40612"/>
    <w:rsid w:val="00A46B58"/>
    <w:rsid w:val="00A46BC8"/>
    <w:rsid w:val="00A68FE2"/>
    <w:rsid w:val="00A73684"/>
    <w:rsid w:val="00A75455"/>
    <w:rsid w:val="00A77CCA"/>
    <w:rsid w:val="00A90199"/>
    <w:rsid w:val="00A94976"/>
    <w:rsid w:val="00A97EDE"/>
    <w:rsid w:val="00AA0AD3"/>
    <w:rsid w:val="00AA15DA"/>
    <w:rsid w:val="00AA3C59"/>
    <w:rsid w:val="00AA61BD"/>
    <w:rsid w:val="00AB2B46"/>
    <w:rsid w:val="00AC0430"/>
    <w:rsid w:val="00AC0FD3"/>
    <w:rsid w:val="00AC28AD"/>
    <w:rsid w:val="00AD5BB3"/>
    <w:rsid w:val="00AD6170"/>
    <w:rsid w:val="00AD6CC6"/>
    <w:rsid w:val="00AD7983"/>
    <w:rsid w:val="00AD7F2E"/>
    <w:rsid w:val="00AE2B15"/>
    <w:rsid w:val="00AE39A7"/>
    <w:rsid w:val="00AF37E7"/>
    <w:rsid w:val="00B03925"/>
    <w:rsid w:val="00B0794E"/>
    <w:rsid w:val="00B07EF8"/>
    <w:rsid w:val="00B12DC1"/>
    <w:rsid w:val="00B15941"/>
    <w:rsid w:val="00B22CF7"/>
    <w:rsid w:val="00B22D13"/>
    <w:rsid w:val="00B24983"/>
    <w:rsid w:val="00B344A4"/>
    <w:rsid w:val="00B34EB6"/>
    <w:rsid w:val="00B43A04"/>
    <w:rsid w:val="00B52CCB"/>
    <w:rsid w:val="00B54F08"/>
    <w:rsid w:val="00B5615D"/>
    <w:rsid w:val="00B57CF4"/>
    <w:rsid w:val="00B641F1"/>
    <w:rsid w:val="00B726CA"/>
    <w:rsid w:val="00B77CA5"/>
    <w:rsid w:val="00B84145"/>
    <w:rsid w:val="00B848F3"/>
    <w:rsid w:val="00B87ECD"/>
    <w:rsid w:val="00B90E6E"/>
    <w:rsid w:val="00B95252"/>
    <w:rsid w:val="00B968AF"/>
    <w:rsid w:val="00BA2C3A"/>
    <w:rsid w:val="00BC1421"/>
    <w:rsid w:val="00BC5335"/>
    <w:rsid w:val="00BD42F7"/>
    <w:rsid w:val="00BE1CEB"/>
    <w:rsid w:val="00BE4C96"/>
    <w:rsid w:val="00BF7697"/>
    <w:rsid w:val="00C01302"/>
    <w:rsid w:val="00C01911"/>
    <w:rsid w:val="00C03CC2"/>
    <w:rsid w:val="00C26328"/>
    <w:rsid w:val="00C31DB5"/>
    <w:rsid w:val="00C32A5E"/>
    <w:rsid w:val="00C3775B"/>
    <w:rsid w:val="00C40F27"/>
    <w:rsid w:val="00C55015"/>
    <w:rsid w:val="00C644BC"/>
    <w:rsid w:val="00C71E8A"/>
    <w:rsid w:val="00C86F6B"/>
    <w:rsid w:val="00C949C4"/>
    <w:rsid w:val="00CA3A7B"/>
    <w:rsid w:val="00CA6C01"/>
    <w:rsid w:val="00CB0063"/>
    <w:rsid w:val="00CB105A"/>
    <w:rsid w:val="00CB2064"/>
    <w:rsid w:val="00CC1A2B"/>
    <w:rsid w:val="00CC73AA"/>
    <w:rsid w:val="00CE0B62"/>
    <w:rsid w:val="00CE6428"/>
    <w:rsid w:val="00D13301"/>
    <w:rsid w:val="00D13F32"/>
    <w:rsid w:val="00D14BEC"/>
    <w:rsid w:val="00D15EC0"/>
    <w:rsid w:val="00D21324"/>
    <w:rsid w:val="00D24575"/>
    <w:rsid w:val="00D315A5"/>
    <w:rsid w:val="00D438CF"/>
    <w:rsid w:val="00D556BF"/>
    <w:rsid w:val="00D57548"/>
    <w:rsid w:val="00D606A9"/>
    <w:rsid w:val="00D67255"/>
    <w:rsid w:val="00D72715"/>
    <w:rsid w:val="00D73309"/>
    <w:rsid w:val="00D740D3"/>
    <w:rsid w:val="00D81A68"/>
    <w:rsid w:val="00D8710E"/>
    <w:rsid w:val="00D9031F"/>
    <w:rsid w:val="00D906D4"/>
    <w:rsid w:val="00DA0397"/>
    <w:rsid w:val="00DA5A20"/>
    <w:rsid w:val="00DA789C"/>
    <w:rsid w:val="00DD7196"/>
    <w:rsid w:val="00DD77DA"/>
    <w:rsid w:val="00E009B6"/>
    <w:rsid w:val="00E14D8D"/>
    <w:rsid w:val="00E166D2"/>
    <w:rsid w:val="00E36FEA"/>
    <w:rsid w:val="00E40123"/>
    <w:rsid w:val="00E455A4"/>
    <w:rsid w:val="00E5114F"/>
    <w:rsid w:val="00E556D6"/>
    <w:rsid w:val="00E6032C"/>
    <w:rsid w:val="00E6078B"/>
    <w:rsid w:val="00E64997"/>
    <w:rsid w:val="00E708C5"/>
    <w:rsid w:val="00E748BA"/>
    <w:rsid w:val="00E817B4"/>
    <w:rsid w:val="00E9198F"/>
    <w:rsid w:val="00EB02E5"/>
    <w:rsid w:val="00EB0EB7"/>
    <w:rsid w:val="00EB0F3E"/>
    <w:rsid w:val="00EB1DFB"/>
    <w:rsid w:val="00EB4531"/>
    <w:rsid w:val="00EB506A"/>
    <w:rsid w:val="00EB7B67"/>
    <w:rsid w:val="00EC0C6F"/>
    <w:rsid w:val="00EC5EA7"/>
    <w:rsid w:val="00ED5A63"/>
    <w:rsid w:val="00ED6326"/>
    <w:rsid w:val="00EE508E"/>
    <w:rsid w:val="00EE5D5C"/>
    <w:rsid w:val="00EF3E76"/>
    <w:rsid w:val="00F03DDD"/>
    <w:rsid w:val="00F13878"/>
    <w:rsid w:val="00F31AE4"/>
    <w:rsid w:val="00F41ABF"/>
    <w:rsid w:val="00F41F37"/>
    <w:rsid w:val="00F57C7E"/>
    <w:rsid w:val="00F70DC4"/>
    <w:rsid w:val="00F8298A"/>
    <w:rsid w:val="00F8781E"/>
    <w:rsid w:val="00F92C41"/>
    <w:rsid w:val="00F94AE3"/>
    <w:rsid w:val="00F9561A"/>
    <w:rsid w:val="00FA5A7B"/>
    <w:rsid w:val="00FA5D2D"/>
    <w:rsid w:val="00FB48C6"/>
    <w:rsid w:val="00FB4FB0"/>
    <w:rsid w:val="00FB5ED9"/>
    <w:rsid w:val="00FC5BEE"/>
    <w:rsid w:val="00FD475E"/>
    <w:rsid w:val="00FE1B3E"/>
    <w:rsid w:val="00FE1C28"/>
    <w:rsid w:val="00FF0D33"/>
    <w:rsid w:val="00FF45BA"/>
    <w:rsid w:val="00FF5740"/>
    <w:rsid w:val="00FF6341"/>
    <w:rsid w:val="00FF7BA1"/>
    <w:rsid w:val="010A316C"/>
    <w:rsid w:val="013AE741"/>
    <w:rsid w:val="018983FD"/>
    <w:rsid w:val="01ABD8A1"/>
    <w:rsid w:val="01E10EA4"/>
    <w:rsid w:val="02404CA2"/>
    <w:rsid w:val="0258FE2D"/>
    <w:rsid w:val="02908A27"/>
    <w:rsid w:val="02A61C49"/>
    <w:rsid w:val="02D21469"/>
    <w:rsid w:val="0368144E"/>
    <w:rsid w:val="03B8F018"/>
    <w:rsid w:val="0411EB8A"/>
    <w:rsid w:val="0444626E"/>
    <w:rsid w:val="046ECFB1"/>
    <w:rsid w:val="04722EED"/>
    <w:rsid w:val="047F134A"/>
    <w:rsid w:val="04B42060"/>
    <w:rsid w:val="04D13CA6"/>
    <w:rsid w:val="04EEBA99"/>
    <w:rsid w:val="054DDA4D"/>
    <w:rsid w:val="05C682CC"/>
    <w:rsid w:val="05C88275"/>
    <w:rsid w:val="06E30F56"/>
    <w:rsid w:val="07E77BAD"/>
    <w:rsid w:val="07E7BFDB"/>
    <w:rsid w:val="07FFD871"/>
    <w:rsid w:val="080885FB"/>
    <w:rsid w:val="08269404"/>
    <w:rsid w:val="08395139"/>
    <w:rsid w:val="08A89923"/>
    <w:rsid w:val="08AA30E2"/>
    <w:rsid w:val="09229553"/>
    <w:rsid w:val="09250040"/>
    <w:rsid w:val="094D4745"/>
    <w:rsid w:val="0968CE88"/>
    <w:rsid w:val="09A862BC"/>
    <w:rsid w:val="09BA533A"/>
    <w:rsid w:val="09CF96B4"/>
    <w:rsid w:val="09D29EE5"/>
    <w:rsid w:val="09E82397"/>
    <w:rsid w:val="0A3842A9"/>
    <w:rsid w:val="0A5D1CCF"/>
    <w:rsid w:val="0AC963A2"/>
    <w:rsid w:val="0AFBC45A"/>
    <w:rsid w:val="0B3A3AA6"/>
    <w:rsid w:val="0B7384C1"/>
    <w:rsid w:val="0B7B1D5F"/>
    <w:rsid w:val="0B7F7C9E"/>
    <w:rsid w:val="0B8A6147"/>
    <w:rsid w:val="0B91053B"/>
    <w:rsid w:val="0BEF1E51"/>
    <w:rsid w:val="0C643FD0"/>
    <w:rsid w:val="0CC6F1FC"/>
    <w:rsid w:val="0CF46549"/>
    <w:rsid w:val="0D5C3425"/>
    <w:rsid w:val="0D767B92"/>
    <w:rsid w:val="0D9C0CA3"/>
    <w:rsid w:val="0DDAC12C"/>
    <w:rsid w:val="0E55A740"/>
    <w:rsid w:val="0E64AFB9"/>
    <w:rsid w:val="0ED4617B"/>
    <w:rsid w:val="0F21A560"/>
    <w:rsid w:val="0F599684"/>
    <w:rsid w:val="0F722C19"/>
    <w:rsid w:val="10729947"/>
    <w:rsid w:val="10935A3D"/>
    <w:rsid w:val="10C085E0"/>
    <w:rsid w:val="11B455AB"/>
    <w:rsid w:val="1272CBFC"/>
    <w:rsid w:val="12767B03"/>
    <w:rsid w:val="12D9C49F"/>
    <w:rsid w:val="1359FA1C"/>
    <w:rsid w:val="13C5F80B"/>
    <w:rsid w:val="13FC1BBF"/>
    <w:rsid w:val="148C9948"/>
    <w:rsid w:val="15503826"/>
    <w:rsid w:val="16ABD0D3"/>
    <w:rsid w:val="175B0091"/>
    <w:rsid w:val="177651BB"/>
    <w:rsid w:val="17813B4E"/>
    <w:rsid w:val="17B5A078"/>
    <w:rsid w:val="17B8FBE0"/>
    <w:rsid w:val="17ED6252"/>
    <w:rsid w:val="18152B61"/>
    <w:rsid w:val="18488DB4"/>
    <w:rsid w:val="18889618"/>
    <w:rsid w:val="18BD3B20"/>
    <w:rsid w:val="18C67FBD"/>
    <w:rsid w:val="19A0694E"/>
    <w:rsid w:val="19B905E9"/>
    <w:rsid w:val="1A22DCE4"/>
    <w:rsid w:val="1A31DB79"/>
    <w:rsid w:val="1A4717CD"/>
    <w:rsid w:val="1A7C7F54"/>
    <w:rsid w:val="1AC576F1"/>
    <w:rsid w:val="1ADB8F4F"/>
    <w:rsid w:val="1B1E24D2"/>
    <w:rsid w:val="1B2BEB0B"/>
    <w:rsid w:val="1B2E3C27"/>
    <w:rsid w:val="1B71152A"/>
    <w:rsid w:val="1B718B2D"/>
    <w:rsid w:val="1BBF6BE1"/>
    <w:rsid w:val="1BC925D3"/>
    <w:rsid w:val="1BDF4548"/>
    <w:rsid w:val="1C737171"/>
    <w:rsid w:val="1D47AF64"/>
    <w:rsid w:val="1D54B693"/>
    <w:rsid w:val="1DA32619"/>
    <w:rsid w:val="1E95FE88"/>
    <w:rsid w:val="1EDE8B65"/>
    <w:rsid w:val="1EE04BC7"/>
    <w:rsid w:val="1F0230BB"/>
    <w:rsid w:val="1F0E75B9"/>
    <w:rsid w:val="1F1B0AA4"/>
    <w:rsid w:val="1F485F8E"/>
    <w:rsid w:val="1F538B7B"/>
    <w:rsid w:val="1F61ECA8"/>
    <w:rsid w:val="2033B5C1"/>
    <w:rsid w:val="203B3A33"/>
    <w:rsid w:val="2044AC3C"/>
    <w:rsid w:val="2072938B"/>
    <w:rsid w:val="20AE87BF"/>
    <w:rsid w:val="20B13ABF"/>
    <w:rsid w:val="20FE7DC7"/>
    <w:rsid w:val="216D8668"/>
    <w:rsid w:val="21743661"/>
    <w:rsid w:val="21B9CF2B"/>
    <w:rsid w:val="21D37C43"/>
    <w:rsid w:val="220D710F"/>
    <w:rsid w:val="22294792"/>
    <w:rsid w:val="224774C6"/>
    <w:rsid w:val="227DAC30"/>
    <w:rsid w:val="228B18C2"/>
    <w:rsid w:val="228D3FB1"/>
    <w:rsid w:val="229F587C"/>
    <w:rsid w:val="22F283A4"/>
    <w:rsid w:val="2340737A"/>
    <w:rsid w:val="238E15EE"/>
    <w:rsid w:val="23E01F99"/>
    <w:rsid w:val="23FCB7B5"/>
    <w:rsid w:val="2412FE21"/>
    <w:rsid w:val="24ABF77E"/>
    <w:rsid w:val="24D2E5B7"/>
    <w:rsid w:val="250724E2"/>
    <w:rsid w:val="250DD71C"/>
    <w:rsid w:val="251768E0"/>
    <w:rsid w:val="256D1E39"/>
    <w:rsid w:val="25CDC913"/>
    <w:rsid w:val="26587202"/>
    <w:rsid w:val="266829A5"/>
    <w:rsid w:val="26BEF4E0"/>
    <w:rsid w:val="27C4AF8C"/>
    <w:rsid w:val="2805AECF"/>
    <w:rsid w:val="2812760C"/>
    <w:rsid w:val="283CFFD6"/>
    <w:rsid w:val="286D6EAB"/>
    <w:rsid w:val="28713CC2"/>
    <w:rsid w:val="2881A82B"/>
    <w:rsid w:val="289AC9D0"/>
    <w:rsid w:val="28A350EB"/>
    <w:rsid w:val="29149220"/>
    <w:rsid w:val="291BC9E5"/>
    <w:rsid w:val="29240471"/>
    <w:rsid w:val="2950E97D"/>
    <w:rsid w:val="2A192661"/>
    <w:rsid w:val="2A6A0672"/>
    <w:rsid w:val="2A7F2619"/>
    <w:rsid w:val="2AAC4E20"/>
    <w:rsid w:val="2B0FF5CA"/>
    <w:rsid w:val="2B540FCC"/>
    <w:rsid w:val="2B686A77"/>
    <w:rsid w:val="2B902520"/>
    <w:rsid w:val="2BA127A4"/>
    <w:rsid w:val="2C35613C"/>
    <w:rsid w:val="2C44D3F8"/>
    <w:rsid w:val="2C511106"/>
    <w:rsid w:val="2CAA022C"/>
    <w:rsid w:val="2CADF47D"/>
    <w:rsid w:val="2CB204D9"/>
    <w:rsid w:val="2D2E57AD"/>
    <w:rsid w:val="2DA1E94E"/>
    <w:rsid w:val="2DBE59A7"/>
    <w:rsid w:val="2E05B693"/>
    <w:rsid w:val="2F401754"/>
    <w:rsid w:val="2F5B7983"/>
    <w:rsid w:val="2F9FE23B"/>
    <w:rsid w:val="3001949F"/>
    <w:rsid w:val="3008A06B"/>
    <w:rsid w:val="30328EE8"/>
    <w:rsid w:val="303B04FD"/>
    <w:rsid w:val="305990FF"/>
    <w:rsid w:val="305F895F"/>
    <w:rsid w:val="309E4B25"/>
    <w:rsid w:val="30BD71FB"/>
    <w:rsid w:val="30D10D8D"/>
    <w:rsid w:val="31169C08"/>
    <w:rsid w:val="31243021"/>
    <w:rsid w:val="31578DE5"/>
    <w:rsid w:val="3198C848"/>
    <w:rsid w:val="31B3A533"/>
    <w:rsid w:val="320E3725"/>
    <w:rsid w:val="3277467A"/>
    <w:rsid w:val="33B8482F"/>
    <w:rsid w:val="33C2CD92"/>
    <w:rsid w:val="34399ECF"/>
    <w:rsid w:val="3467DDCE"/>
    <w:rsid w:val="34C82627"/>
    <w:rsid w:val="34F078A2"/>
    <w:rsid w:val="352C44E5"/>
    <w:rsid w:val="35F70132"/>
    <w:rsid w:val="3648B8DB"/>
    <w:rsid w:val="3657C9DC"/>
    <w:rsid w:val="36DB28F8"/>
    <w:rsid w:val="36DE768E"/>
    <w:rsid w:val="376A4F15"/>
    <w:rsid w:val="3773518F"/>
    <w:rsid w:val="383A415F"/>
    <w:rsid w:val="38D8D7E7"/>
    <w:rsid w:val="38DAC1AA"/>
    <w:rsid w:val="3962141E"/>
    <w:rsid w:val="3A58F8C8"/>
    <w:rsid w:val="3AB0211D"/>
    <w:rsid w:val="3ACA5F89"/>
    <w:rsid w:val="3ACFAD23"/>
    <w:rsid w:val="3AE60CAD"/>
    <w:rsid w:val="3AF592A1"/>
    <w:rsid w:val="3B05EEAC"/>
    <w:rsid w:val="3B7D7C2B"/>
    <w:rsid w:val="3B98DD12"/>
    <w:rsid w:val="3B9FCDA8"/>
    <w:rsid w:val="3BE9679D"/>
    <w:rsid w:val="3BF3565F"/>
    <w:rsid w:val="3BF40831"/>
    <w:rsid w:val="3BFA04E7"/>
    <w:rsid w:val="3C83390E"/>
    <w:rsid w:val="3D309570"/>
    <w:rsid w:val="3D4295D9"/>
    <w:rsid w:val="3DB4ECF2"/>
    <w:rsid w:val="3DC5A65D"/>
    <w:rsid w:val="3E89598F"/>
    <w:rsid w:val="3FC79C44"/>
    <w:rsid w:val="3FCAC786"/>
    <w:rsid w:val="3FD26354"/>
    <w:rsid w:val="3FEDECDC"/>
    <w:rsid w:val="4006DD97"/>
    <w:rsid w:val="40A6C406"/>
    <w:rsid w:val="40C6A784"/>
    <w:rsid w:val="40D9CCDF"/>
    <w:rsid w:val="41591058"/>
    <w:rsid w:val="41708B98"/>
    <w:rsid w:val="417A69AB"/>
    <w:rsid w:val="41D50734"/>
    <w:rsid w:val="41FFAAC2"/>
    <w:rsid w:val="425B8F30"/>
    <w:rsid w:val="428C68E9"/>
    <w:rsid w:val="4292E474"/>
    <w:rsid w:val="42B475F8"/>
    <w:rsid w:val="431F1B0F"/>
    <w:rsid w:val="43E54F7A"/>
    <w:rsid w:val="4401C9D4"/>
    <w:rsid w:val="44414957"/>
    <w:rsid w:val="44D0C903"/>
    <w:rsid w:val="44F505B9"/>
    <w:rsid w:val="45021762"/>
    <w:rsid w:val="452B3628"/>
    <w:rsid w:val="453F9928"/>
    <w:rsid w:val="4583E337"/>
    <w:rsid w:val="45A48A18"/>
    <w:rsid w:val="462C38B1"/>
    <w:rsid w:val="464F8847"/>
    <w:rsid w:val="467ADE12"/>
    <w:rsid w:val="46A873DF"/>
    <w:rsid w:val="46CBFB3E"/>
    <w:rsid w:val="46E8F13D"/>
    <w:rsid w:val="480D301F"/>
    <w:rsid w:val="4824930A"/>
    <w:rsid w:val="4837641F"/>
    <w:rsid w:val="484761D2"/>
    <w:rsid w:val="4849B1BF"/>
    <w:rsid w:val="48727CE8"/>
    <w:rsid w:val="488B8488"/>
    <w:rsid w:val="4899A979"/>
    <w:rsid w:val="48B04133"/>
    <w:rsid w:val="48C7E2B9"/>
    <w:rsid w:val="48EC9ABB"/>
    <w:rsid w:val="4960DAD9"/>
    <w:rsid w:val="49705E6E"/>
    <w:rsid w:val="49D513C9"/>
    <w:rsid w:val="4A044E78"/>
    <w:rsid w:val="4A2273A4"/>
    <w:rsid w:val="4A349575"/>
    <w:rsid w:val="4A3DB875"/>
    <w:rsid w:val="4A4004F3"/>
    <w:rsid w:val="4A49E717"/>
    <w:rsid w:val="4A643733"/>
    <w:rsid w:val="4A807B47"/>
    <w:rsid w:val="4ACAE187"/>
    <w:rsid w:val="4B5AEE36"/>
    <w:rsid w:val="4B673626"/>
    <w:rsid w:val="4BAED2A1"/>
    <w:rsid w:val="4BF4CE18"/>
    <w:rsid w:val="4C4155D2"/>
    <w:rsid w:val="4CC75237"/>
    <w:rsid w:val="4D76773E"/>
    <w:rsid w:val="4DC95464"/>
    <w:rsid w:val="4DE3F69B"/>
    <w:rsid w:val="4DED92BC"/>
    <w:rsid w:val="4E79989D"/>
    <w:rsid w:val="4EC1BC31"/>
    <w:rsid w:val="4F910444"/>
    <w:rsid w:val="4F9E6E1A"/>
    <w:rsid w:val="4FB5F0BD"/>
    <w:rsid w:val="4FDC5744"/>
    <w:rsid w:val="4FFAB2BA"/>
    <w:rsid w:val="4FFAEE63"/>
    <w:rsid w:val="508C712F"/>
    <w:rsid w:val="509C6817"/>
    <w:rsid w:val="50C55013"/>
    <w:rsid w:val="51390A96"/>
    <w:rsid w:val="51C1D613"/>
    <w:rsid w:val="51D5A359"/>
    <w:rsid w:val="51D602CA"/>
    <w:rsid w:val="51DA5F46"/>
    <w:rsid w:val="520C9DD1"/>
    <w:rsid w:val="525923F6"/>
    <w:rsid w:val="5264AB42"/>
    <w:rsid w:val="527929C2"/>
    <w:rsid w:val="5288918C"/>
    <w:rsid w:val="5291549F"/>
    <w:rsid w:val="52F4715D"/>
    <w:rsid w:val="52FE9E24"/>
    <w:rsid w:val="53ACF513"/>
    <w:rsid w:val="53C13F47"/>
    <w:rsid w:val="53FFD05F"/>
    <w:rsid w:val="544F004F"/>
    <w:rsid w:val="550CC595"/>
    <w:rsid w:val="550DF17B"/>
    <w:rsid w:val="55245473"/>
    <w:rsid w:val="553ED138"/>
    <w:rsid w:val="5575464D"/>
    <w:rsid w:val="55A3EB07"/>
    <w:rsid w:val="55C59E88"/>
    <w:rsid w:val="55EED56A"/>
    <w:rsid w:val="565C65B9"/>
    <w:rsid w:val="56C0B122"/>
    <w:rsid w:val="56FBD773"/>
    <w:rsid w:val="571DD8C9"/>
    <w:rsid w:val="5724FA01"/>
    <w:rsid w:val="5776212A"/>
    <w:rsid w:val="577DEDA1"/>
    <w:rsid w:val="584C8716"/>
    <w:rsid w:val="58BDA548"/>
    <w:rsid w:val="58F29967"/>
    <w:rsid w:val="59801F98"/>
    <w:rsid w:val="59962BB8"/>
    <w:rsid w:val="59E108C8"/>
    <w:rsid w:val="5A79F467"/>
    <w:rsid w:val="5AA58F3E"/>
    <w:rsid w:val="5B4B6CF9"/>
    <w:rsid w:val="5B699433"/>
    <w:rsid w:val="5B7C7B1B"/>
    <w:rsid w:val="5B85291F"/>
    <w:rsid w:val="5B97B1CD"/>
    <w:rsid w:val="5BD5F602"/>
    <w:rsid w:val="5BE6C115"/>
    <w:rsid w:val="5BEBA16A"/>
    <w:rsid w:val="5C128586"/>
    <w:rsid w:val="5C2E3D95"/>
    <w:rsid w:val="5C47DFA8"/>
    <w:rsid w:val="5CCCFABD"/>
    <w:rsid w:val="5CDB1DF0"/>
    <w:rsid w:val="5CEBBD4B"/>
    <w:rsid w:val="5D0B1CE9"/>
    <w:rsid w:val="5D1CC74A"/>
    <w:rsid w:val="5D4EB352"/>
    <w:rsid w:val="5DC2A354"/>
    <w:rsid w:val="5DEF6BCC"/>
    <w:rsid w:val="5DF0CD4D"/>
    <w:rsid w:val="5E303C55"/>
    <w:rsid w:val="5E467FBB"/>
    <w:rsid w:val="5E4B0FC7"/>
    <w:rsid w:val="5E51F317"/>
    <w:rsid w:val="5EF7FEE9"/>
    <w:rsid w:val="5F2C7D4B"/>
    <w:rsid w:val="5F485596"/>
    <w:rsid w:val="5F7B5378"/>
    <w:rsid w:val="5FA61656"/>
    <w:rsid w:val="5FCACFD6"/>
    <w:rsid w:val="5FF92864"/>
    <w:rsid w:val="5FF955FB"/>
    <w:rsid w:val="60209545"/>
    <w:rsid w:val="6036B78C"/>
    <w:rsid w:val="60563CB4"/>
    <w:rsid w:val="60643CE7"/>
    <w:rsid w:val="606DF04B"/>
    <w:rsid w:val="60A58386"/>
    <w:rsid w:val="60B744B5"/>
    <w:rsid w:val="60CC942C"/>
    <w:rsid w:val="60DD2109"/>
    <w:rsid w:val="60EEAA17"/>
    <w:rsid w:val="61950BDA"/>
    <w:rsid w:val="61C5F2A9"/>
    <w:rsid w:val="625BC17F"/>
    <w:rsid w:val="6291C1FB"/>
    <w:rsid w:val="63A816E2"/>
    <w:rsid w:val="63E1DA8E"/>
    <w:rsid w:val="646EEDB8"/>
    <w:rsid w:val="647763C0"/>
    <w:rsid w:val="647E2C62"/>
    <w:rsid w:val="64DA05B3"/>
    <w:rsid w:val="6515D9A8"/>
    <w:rsid w:val="65269E9B"/>
    <w:rsid w:val="65A120D4"/>
    <w:rsid w:val="66371224"/>
    <w:rsid w:val="66ECB820"/>
    <w:rsid w:val="6723278C"/>
    <w:rsid w:val="673D9AA3"/>
    <w:rsid w:val="67620EBE"/>
    <w:rsid w:val="680D3115"/>
    <w:rsid w:val="681724A1"/>
    <w:rsid w:val="6A807DC3"/>
    <w:rsid w:val="6AAA6FB6"/>
    <w:rsid w:val="6AB344B7"/>
    <w:rsid w:val="6B67DFA3"/>
    <w:rsid w:val="6BD3789B"/>
    <w:rsid w:val="6BE601D0"/>
    <w:rsid w:val="6C6892DA"/>
    <w:rsid w:val="6C94E6F5"/>
    <w:rsid w:val="6D00A3B3"/>
    <w:rsid w:val="6D03E23D"/>
    <w:rsid w:val="6D9DEA71"/>
    <w:rsid w:val="6E281130"/>
    <w:rsid w:val="6E39F1DB"/>
    <w:rsid w:val="6E514B72"/>
    <w:rsid w:val="6E8506FB"/>
    <w:rsid w:val="6EB21816"/>
    <w:rsid w:val="6EC62510"/>
    <w:rsid w:val="6EDFC5D7"/>
    <w:rsid w:val="6F000E75"/>
    <w:rsid w:val="6F6C4548"/>
    <w:rsid w:val="6FA283CB"/>
    <w:rsid w:val="70146136"/>
    <w:rsid w:val="7018B62E"/>
    <w:rsid w:val="7025DCC4"/>
    <w:rsid w:val="7089AB4B"/>
    <w:rsid w:val="70B16477"/>
    <w:rsid w:val="71A26336"/>
    <w:rsid w:val="71F1FB50"/>
    <w:rsid w:val="71FF473F"/>
    <w:rsid w:val="72214C7F"/>
    <w:rsid w:val="7223BFE4"/>
    <w:rsid w:val="728F4626"/>
    <w:rsid w:val="72AA56EC"/>
    <w:rsid w:val="72ADB233"/>
    <w:rsid w:val="72F041AA"/>
    <w:rsid w:val="72F81831"/>
    <w:rsid w:val="73182329"/>
    <w:rsid w:val="7356F730"/>
    <w:rsid w:val="73C4A742"/>
    <w:rsid w:val="73EA523D"/>
    <w:rsid w:val="74224BA3"/>
    <w:rsid w:val="743BBED3"/>
    <w:rsid w:val="7465B32E"/>
    <w:rsid w:val="7496CAC2"/>
    <w:rsid w:val="74C8D666"/>
    <w:rsid w:val="750A120A"/>
    <w:rsid w:val="751787B4"/>
    <w:rsid w:val="752238E6"/>
    <w:rsid w:val="7559CF11"/>
    <w:rsid w:val="75A33F5C"/>
    <w:rsid w:val="763C7D33"/>
    <w:rsid w:val="76530E2C"/>
    <w:rsid w:val="76848CFC"/>
    <w:rsid w:val="76ACD844"/>
    <w:rsid w:val="76DEF191"/>
    <w:rsid w:val="76FFAB14"/>
    <w:rsid w:val="781041BD"/>
    <w:rsid w:val="78855938"/>
    <w:rsid w:val="788A5514"/>
    <w:rsid w:val="79068EFA"/>
    <w:rsid w:val="79376922"/>
    <w:rsid w:val="799AC309"/>
    <w:rsid w:val="7A05AC11"/>
    <w:rsid w:val="7A09349F"/>
    <w:rsid w:val="7AB67A9F"/>
    <w:rsid w:val="7AF42CA3"/>
    <w:rsid w:val="7AF61663"/>
    <w:rsid w:val="7B3147D8"/>
    <w:rsid w:val="7B36E9CB"/>
    <w:rsid w:val="7B42D09B"/>
    <w:rsid w:val="7B63D27A"/>
    <w:rsid w:val="7BB98FF6"/>
    <w:rsid w:val="7BCE723D"/>
    <w:rsid w:val="7C1B1B87"/>
    <w:rsid w:val="7C575E75"/>
    <w:rsid w:val="7C667863"/>
    <w:rsid w:val="7C92939A"/>
    <w:rsid w:val="7CB332A9"/>
    <w:rsid w:val="7CBA869B"/>
    <w:rsid w:val="7D24DC8E"/>
    <w:rsid w:val="7D89ACF3"/>
    <w:rsid w:val="7D9A5BC6"/>
    <w:rsid w:val="7DE65A22"/>
    <w:rsid w:val="7DF394D7"/>
    <w:rsid w:val="7E2B4633"/>
    <w:rsid w:val="7E7AA01C"/>
    <w:rsid w:val="7F998057"/>
    <w:rsid w:val="7FC6ABF0"/>
    <w:rsid w:val="7FDA5F10"/>
    <w:rsid w:val="7FDE07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65B9"/>
  <w15:chartTrackingRefBased/>
  <w15:docId w15:val="{85B4D5DC-DD0A-DC4E-B716-709B50E2C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6FA283CB"/>
    <w:pPr>
      <w:tabs>
        <w:tab w:val="center" w:pos="4680"/>
        <w:tab w:val="right" w:pos="9360"/>
      </w:tabs>
      <w:spacing w:after="0" w:line="240" w:lineRule="auto"/>
    </w:pPr>
  </w:style>
  <w:style w:type="paragraph" w:styleId="Footer">
    <w:name w:val="footer"/>
    <w:basedOn w:val="Normal"/>
    <w:uiPriority w:val="99"/>
    <w:unhideWhenUsed/>
    <w:rsid w:val="6FA283CB"/>
    <w:pPr>
      <w:tabs>
        <w:tab w:val="center" w:pos="4680"/>
        <w:tab w:val="right" w:pos="9360"/>
      </w:tabs>
      <w:spacing w:after="0" w:line="240" w:lineRule="auto"/>
    </w:pPr>
  </w:style>
  <w:style w:type="character" w:styleId="Hyperlink">
    <w:name w:val="Hyperlink"/>
    <w:basedOn w:val="DefaultParagraphFont"/>
    <w:uiPriority w:val="99"/>
    <w:unhideWhenUsed/>
    <w:rsid w:val="6FA283CB"/>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02908A27"/>
    <w:pPr>
      <w:spacing w:after="100"/>
    </w:pPr>
  </w:style>
  <w:style w:type="character" w:styleId="UnresolvedMention">
    <w:name w:val="Unresolved Mention"/>
    <w:basedOn w:val="DefaultParagraphFont"/>
    <w:uiPriority w:val="99"/>
    <w:semiHidden/>
    <w:unhideWhenUsed/>
    <w:rsid w:val="0097138B"/>
    <w:rPr>
      <w:color w:val="605E5C"/>
      <w:shd w:val="clear" w:color="auto" w:fill="E1DFDD"/>
    </w:rPr>
  </w:style>
  <w:style w:type="paragraph" w:styleId="NormalWeb">
    <w:name w:val="Normal (Web)"/>
    <w:basedOn w:val="Normal"/>
    <w:uiPriority w:val="99"/>
    <w:semiHidden/>
    <w:unhideWhenUsed/>
    <w:rsid w:val="0097138B"/>
    <w:rPr>
      <w:rFonts w:ascii="Times New Roman" w:hAnsi="Times New Roman" w:cs="Times New Roman"/>
    </w:rPr>
  </w:style>
  <w:style w:type="paragraph" w:styleId="NoSpacing">
    <w:name w:val="No Spacing"/>
    <w:uiPriority w:val="1"/>
    <w:qFormat/>
    <w:rsid w:val="00196A1F"/>
    <w:pPr>
      <w:spacing w:after="0" w:line="240" w:lineRule="auto"/>
    </w:pPr>
  </w:style>
  <w:style w:type="character" w:styleId="FollowedHyperlink">
    <w:name w:val="FollowedHyperlink"/>
    <w:basedOn w:val="DefaultParagraphFont"/>
    <w:uiPriority w:val="99"/>
    <w:semiHidden/>
    <w:unhideWhenUsed/>
    <w:rsid w:val="002500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books/NBK500019/" TargetMode="External"/><Relationship Id="rId13" Type="http://schemas.openxmlformats.org/officeDocument/2006/relationships/hyperlink" Target="https://www.hipaajournal.com/editorial-hipaacompliance-challenges-small-medical-practices/" TargetMode="External"/><Relationship Id="rId18" Type="http://schemas.openxmlformats.org/officeDocument/2006/relationships/hyperlink" Target="https://hipaatimes.com/international-outsourcing-and-hipaa-compliance" TargetMode="Externa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hyperlink" Target="https://askfeather.com/resources/before-hipaa-how-was-patient-confidentiality-handled" TargetMode="External"/><Relationship Id="rId12" Type="http://schemas.openxmlformats.org/officeDocument/2006/relationships/hyperlink" Target="https://www.compliancejunction.com/important-hipaa-compliance-considerations-for-legacy-software-and-devices/" TargetMode="External"/><Relationship Id="rId17" Type="http://schemas.openxmlformats.org/officeDocument/2006/relationships/hyperlink" Target="https://www.hipaajournal.com/5-gaps-hipaa-how-being-filled/" TargetMode="External"/><Relationship Id="rId2" Type="http://schemas.openxmlformats.org/officeDocument/2006/relationships/settings" Target="settings.xml"/><Relationship Id="rId16" Type="http://schemas.openxmlformats.org/officeDocument/2006/relationships/hyperlink" Target="https://doi.org/10.1007/s41649-024-00283-8"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ama-assn.org/practice-management/hipaa/hipaa-security-rule-risk-analysis" TargetMode="External"/><Relationship Id="rId24" Type="http://schemas.microsoft.com/office/2020/10/relationships/intelligence" Target="intelligence2.xml"/><Relationship Id="rId5" Type="http://schemas.openxmlformats.org/officeDocument/2006/relationships/endnotes" Target="endnotes.xml"/><Relationship Id="rId15" Type="http://schemas.openxmlformats.org/officeDocument/2006/relationships/hyperlink" Target="https://www.hhs.gov/hipaa/for-professionals/special-topics/health-information-technology/cloud-computing/index.html" TargetMode="External"/><Relationship Id="rId23" Type="http://schemas.openxmlformats.org/officeDocument/2006/relationships/theme" Target="theme/theme1.xml"/><Relationship Id="rId10" Type="http://schemas.openxmlformats.org/officeDocument/2006/relationships/hyperlink" Target="https://www.hhs.gov/hipaa/for-professionals/security/index.html" TargetMode="External"/><Relationship Id="rId19" Type="http://schemas.openxmlformats.org/officeDocument/2006/relationships/hyperlink" Target="https://www.insurance.ca.gov/0400-news/0100-press-releases/anthemcyberattack.cfm" TargetMode="External"/><Relationship Id="rId4" Type="http://schemas.openxmlformats.org/officeDocument/2006/relationships/footnotes" Target="footnotes.xml"/><Relationship Id="rId9" Type="http://schemas.openxmlformats.org/officeDocument/2006/relationships/hyperlink" Target="https://www.hhs.gov/hipaa/for-professionals/privacy/laws-regulations/index.html" TargetMode="External"/><Relationship Id="rId14" Type="http://schemas.openxmlformats.org/officeDocument/2006/relationships/hyperlink" Target="https://www.hipaajournal.com/healthcare-cloud-usage-grows-but-protecting-phi-can-be-a-challeng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17</Pages>
  <Words>4250</Words>
  <Characters>24225</Characters>
  <Application>Microsoft Office Word</Application>
  <DocSecurity>0</DocSecurity>
  <Lines>201</Lines>
  <Paragraphs>56</Paragraphs>
  <ScaleCrop>false</ScaleCrop>
  <Company/>
  <LinksUpToDate>false</LinksUpToDate>
  <CharactersWithSpaces>28419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Clairvens Lapointe</dc:creator>
  <cp:keywords/>
  <dc:description/>
  <cp:lastModifiedBy>Clairvens Lapointe</cp:lastModifiedBy>
  <cp:revision>58</cp:revision>
  <dcterms:created xsi:type="dcterms:W3CDTF">2025-11-18T18:37:00Z</dcterms:created>
  <dcterms:modified xsi:type="dcterms:W3CDTF">2025-11-22T00:17:00Z</dcterms:modified>
</cp:coreProperties>
</file>