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8F" w:rsidRPr="000C06EF" w:rsidRDefault="008D468F" w:rsidP="000C06EF">
      <w:pPr>
        <w:spacing w:before="0" w:after="240"/>
        <w:jc w:val="center"/>
        <w:rPr>
          <w:rFonts w:cs="Arial"/>
          <w:sz w:val="36"/>
          <w:szCs w:val="36"/>
        </w:rPr>
      </w:pPr>
      <w:bookmarkStart w:id="0" w:name="_GoBack"/>
      <w:bookmarkEnd w:id="0"/>
      <w:r w:rsidRPr="000C06EF">
        <w:rPr>
          <w:rFonts w:cs="Arial"/>
          <w:sz w:val="36"/>
          <w:szCs w:val="36"/>
        </w:rPr>
        <w:t>Abschnitt F</w:t>
      </w:r>
      <w:r w:rsidR="000C06EF">
        <w:rPr>
          <w:rFonts w:cs="Arial"/>
          <w:sz w:val="36"/>
          <w:szCs w:val="36"/>
        </w:rPr>
        <w:br/>
      </w:r>
      <w:r w:rsidRPr="000C06EF">
        <w:rPr>
          <w:rFonts w:cs="Arial"/>
          <w:sz w:val="36"/>
          <w:szCs w:val="36"/>
        </w:rPr>
        <w:t>Logbuch</w:t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93"/>
        <w:gridCol w:w="3811"/>
        <w:gridCol w:w="1063"/>
        <w:gridCol w:w="1063"/>
        <w:gridCol w:w="1063"/>
        <w:gridCol w:w="1063"/>
        <w:gridCol w:w="3758"/>
        <w:gridCol w:w="689"/>
        <w:gridCol w:w="690"/>
      </w:tblGrid>
      <w:tr w:rsidR="007B243D" w:rsidRPr="00DC1D33" w:rsidTr="007824F2">
        <w:trPr>
          <w:cantSplit/>
          <w:trHeight w:val="526"/>
          <w:tblHeader/>
        </w:trPr>
        <w:tc>
          <w:tcPr>
            <w:tcW w:w="2393" w:type="dxa"/>
            <w:vMerge w:val="restart"/>
            <w:shd w:val="clear" w:color="auto" w:fill="7F7F7F" w:themeFill="text1" w:themeFillTint="80"/>
            <w:vAlign w:val="center"/>
          </w:tcPr>
          <w:p w:rsidR="00500D88" w:rsidRPr="00DC1D33" w:rsidRDefault="002F058E" w:rsidP="00DC1D33">
            <w:pPr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Weiterbildungsblöcke</w:t>
            </w:r>
          </w:p>
        </w:tc>
        <w:tc>
          <w:tcPr>
            <w:tcW w:w="3811" w:type="dxa"/>
            <w:vMerge w:val="restart"/>
            <w:shd w:val="clear" w:color="auto" w:fill="8DB3E2" w:themeFill="text2" w:themeFillTint="66"/>
            <w:vAlign w:val="center"/>
          </w:tcPr>
          <w:p w:rsidR="00B63ACF" w:rsidRPr="00DC1D33" w:rsidRDefault="00500D88" w:rsidP="00DC1D33">
            <w:pPr>
              <w:spacing w:before="40" w:after="40"/>
              <w:jc w:val="center"/>
              <w:rPr>
                <w:rFonts w:cs="Arial"/>
                <w:sz w:val="20"/>
              </w:rPr>
            </w:pPr>
            <w:r w:rsidRPr="00DC1D33">
              <w:rPr>
                <w:rFonts w:cs="Arial"/>
                <w:sz w:val="20"/>
              </w:rPr>
              <w:t xml:space="preserve">Anwendungsbezogene </w:t>
            </w:r>
            <w:r w:rsidR="007F5204" w:rsidRPr="00DC1D33">
              <w:rPr>
                <w:rFonts w:cs="Arial"/>
                <w:sz w:val="20"/>
              </w:rPr>
              <w:br/>
            </w:r>
            <w:r w:rsidRPr="00EC459A">
              <w:rPr>
                <w:rFonts w:cs="Arial"/>
                <w:b/>
                <w:sz w:val="20"/>
              </w:rPr>
              <w:t>Kenntnisse und Erfahrungen</w:t>
            </w:r>
          </w:p>
          <w:p w:rsidR="00500D88" w:rsidRPr="00EC459A" w:rsidRDefault="00D52BB5" w:rsidP="00DC1D33">
            <w:pPr>
              <w:spacing w:before="40" w:after="40"/>
              <w:jc w:val="center"/>
              <w:rPr>
                <w:rFonts w:cs="Arial"/>
                <w:sz w:val="20"/>
              </w:rPr>
            </w:pPr>
            <w:r w:rsidRPr="00EC459A">
              <w:rPr>
                <w:rFonts w:cs="Arial"/>
                <w:sz w:val="20"/>
              </w:rPr>
              <w:t>(Weiterbildungsmodus</w:t>
            </w:r>
            <w:r w:rsidR="00500D88" w:rsidRPr="00EC459A">
              <w:rPr>
                <w:rFonts w:cs="Arial"/>
                <w:sz w:val="20"/>
              </w:rPr>
              <w:t xml:space="preserve"> </w:t>
            </w:r>
            <w:r w:rsidR="007F5204" w:rsidRPr="00EC459A">
              <w:rPr>
                <w:rFonts w:cs="Arial"/>
                <w:sz w:val="20"/>
              </w:rPr>
              <w:br/>
            </w:r>
            <w:r w:rsidR="00500D88" w:rsidRPr="00EC459A">
              <w:rPr>
                <w:rFonts w:cs="Arial"/>
                <w:sz w:val="20"/>
              </w:rPr>
              <w:t>„Kennen“ und „Können“)</w:t>
            </w:r>
          </w:p>
        </w:tc>
        <w:tc>
          <w:tcPr>
            <w:tcW w:w="4252" w:type="dxa"/>
            <w:gridSpan w:val="4"/>
            <w:shd w:val="clear" w:color="auto" w:fill="auto"/>
            <w:vAlign w:val="center"/>
          </w:tcPr>
          <w:p w:rsidR="00500D88" w:rsidRPr="00DC1D33" w:rsidRDefault="00ED5B7D" w:rsidP="00DC1D33">
            <w:pPr>
              <w:spacing w:before="40" w:after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Erreichte Kompetenz</w:t>
            </w:r>
            <w:r w:rsidR="00500D88" w:rsidRPr="00DC1D33">
              <w:rPr>
                <w:rFonts w:cs="Arial"/>
                <w:b/>
                <w:sz w:val="20"/>
              </w:rPr>
              <w:t xml:space="preserve"> </w:t>
            </w:r>
            <w:r w:rsidR="00500D88" w:rsidRPr="00DC1D33">
              <w:rPr>
                <w:rFonts w:cs="Arial"/>
                <w:b/>
                <w:sz w:val="20"/>
              </w:rPr>
              <w:br/>
            </w:r>
            <w:r w:rsidR="00500D88" w:rsidRPr="00DC1D33">
              <w:rPr>
                <w:rFonts w:cs="Arial"/>
                <w:sz w:val="20"/>
              </w:rPr>
              <w:t>(durch Weiterbildungsbefugten auszufüllen):</w:t>
            </w:r>
          </w:p>
        </w:tc>
        <w:tc>
          <w:tcPr>
            <w:tcW w:w="3758" w:type="dxa"/>
            <w:vMerge w:val="restart"/>
            <w:shd w:val="clear" w:color="auto" w:fill="FFFF00"/>
            <w:vAlign w:val="center"/>
          </w:tcPr>
          <w:p w:rsidR="00B63ACF" w:rsidRPr="00DC1D33" w:rsidRDefault="00500D88" w:rsidP="00DC1D33">
            <w:pPr>
              <w:spacing w:before="40" w:after="40"/>
              <w:jc w:val="center"/>
              <w:rPr>
                <w:rFonts w:cs="Arial"/>
                <w:sz w:val="20"/>
              </w:rPr>
            </w:pPr>
            <w:r w:rsidRPr="00DC1D33">
              <w:rPr>
                <w:rFonts w:cs="Arial"/>
                <w:sz w:val="20"/>
              </w:rPr>
              <w:t xml:space="preserve">kenntnis- und erfahrungsgestützte Anwendung (ohne RZ) </w:t>
            </w:r>
            <w:r w:rsidR="00B63ACF" w:rsidRPr="00DC1D33">
              <w:rPr>
                <w:rFonts w:cs="Arial"/>
                <w:sz w:val="20"/>
              </w:rPr>
              <w:br/>
            </w:r>
            <w:r w:rsidRPr="00DC1D33">
              <w:rPr>
                <w:rFonts w:cs="Arial"/>
                <w:sz w:val="20"/>
              </w:rPr>
              <w:t xml:space="preserve">und Fertigkeiten (mit RZ) </w:t>
            </w:r>
          </w:p>
          <w:p w:rsidR="00500D88" w:rsidRPr="00DC1D33" w:rsidRDefault="00500D88" w:rsidP="00DC1D33">
            <w:pPr>
              <w:spacing w:before="40" w:after="40"/>
              <w:jc w:val="center"/>
              <w:rPr>
                <w:rFonts w:cs="Arial"/>
                <w:sz w:val="20"/>
              </w:rPr>
            </w:pPr>
            <w:r w:rsidRPr="00EC459A">
              <w:rPr>
                <w:rFonts w:cs="Arial"/>
                <w:sz w:val="20"/>
              </w:rPr>
              <w:t>(Weiterbildungsmodus</w:t>
            </w:r>
            <w:r w:rsidRPr="00DC1D33">
              <w:rPr>
                <w:rFonts w:cs="Arial"/>
                <w:b/>
                <w:sz w:val="20"/>
              </w:rPr>
              <w:t xml:space="preserve"> „Beherrschen“)</w:t>
            </w:r>
          </w:p>
        </w:tc>
        <w:tc>
          <w:tcPr>
            <w:tcW w:w="689" w:type="dxa"/>
            <w:vMerge w:val="restart"/>
            <w:shd w:val="clear" w:color="auto" w:fill="FFFF00"/>
            <w:textDirection w:val="btLr"/>
            <w:vAlign w:val="center"/>
          </w:tcPr>
          <w:p w:rsidR="00500D88" w:rsidRPr="00DC1D33" w:rsidRDefault="00500D88" w:rsidP="00DC1D33">
            <w:pPr>
              <w:spacing w:before="40" w:after="40"/>
              <w:ind w:left="113" w:right="113"/>
              <w:rPr>
                <w:rFonts w:cs="Arial"/>
                <w:sz w:val="20"/>
              </w:rPr>
            </w:pPr>
            <w:r w:rsidRPr="00DC1D33">
              <w:rPr>
                <w:rFonts w:cs="Arial"/>
                <w:b/>
                <w:sz w:val="20"/>
              </w:rPr>
              <w:t>Richtzahlen</w:t>
            </w:r>
            <w:r w:rsidR="00797C58" w:rsidRPr="00DC1D33">
              <w:rPr>
                <w:rFonts w:cs="Arial"/>
                <w:b/>
                <w:sz w:val="20"/>
              </w:rPr>
              <w:br/>
            </w:r>
            <w:r w:rsidRPr="00DC1D33">
              <w:rPr>
                <w:rFonts w:cs="Arial"/>
                <w:sz w:val="20"/>
              </w:rPr>
              <w:t>sofern gefordert</w:t>
            </w:r>
          </w:p>
        </w:tc>
        <w:tc>
          <w:tcPr>
            <w:tcW w:w="690" w:type="dxa"/>
            <w:vMerge w:val="restart"/>
            <w:shd w:val="clear" w:color="auto" w:fill="FFFF00"/>
            <w:textDirection w:val="btLr"/>
            <w:vAlign w:val="center"/>
          </w:tcPr>
          <w:p w:rsidR="00500D88" w:rsidRPr="00DC1D33" w:rsidRDefault="00500D88" w:rsidP="00DC1D33">
            <w:pPr>
              <w:spacing w:before="40" w:after="40"/>
              <w:ind w:left="113" w:right="113"/>
              <w:rPr>
                <w:rFonts w:cs="Arial"/>
                <w:b/>
                <w:sz w:val="20"/>
              </w:rPr>
            </w:pPr>
            <w:r w:rsidRPr="00DC1D33">
              <w:rPr>
                <w:rFonts w:cs="Arial"/>
                <w:b/>
                <w:sz w:val="20"/>
              </w:rPr>
              <w:t>nachgewiesene</w:t>
            </w:r>
            <w:r w:rsidR="00797C58" w:rsidRPr="00DC1D33">
              <w:rPr>
                <w:rFonts w:cs="Arial"/>
                <w:b/>
                <w:sz w:val="20"/>
              </w:rPr>
              <w:br/>
            </w:r>
            <w:r w:rsidRPr="00DC1D33">
              <w:rPr>
                <w:rFonts w:cs="Arial"/>
                <w:b/>
                <w:sz w:val="20"/>
              </w:rPr>
              <w:t>Richtzahlen</w:t>
            </w:r>
          </w:p>
        </w:tc>
      </w:tr>
      <w:tr w:rsidR="00B74A0E" w:rsidRPr="00DC1D33" w:rsidTr="007824F2">
        <w:trPr>
          <w:cantSplit/>
          <w:trHeight w:val="1287"/>
          <w:tblHeader/>
        </w:trPr>
        <w:tc>
          <w:tcPr>
            <w:tcW w:w="2393" w:type="dxa"/>
            <w:vMerge/>
            <w:tcBorders>
              <w:bottom w:val="single" w:sz="2" w:space="0" w:color="auto"/>
            </w:tcBorders>
            <w:shd w:val="clear" w:color="auto" w:fill="7F7F7F" w:themeFill="text1" w:themeFillTint="80"/>
          </w:tcPr>
          <w:p w:rsidR="00500D88" w:rsidRPr="00DC1D33" w:rsidRDefault="00500D88" w:rsidP="00DC1D33">
            <w:pPr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3811" w:type="dxa"/>
            <w:vMerge/>
            <w:tcBorders>
              <w:bottom w:val="single" w:sz="2" w:space="0" w:color="auto"/>
            </w:tcBorders>
            <w:shd w:val="clear" w:color="auto" w:fill="8DB3E2" w:themeFill="text2" w:themeFillTint="66"/>
          </w:tcPr>
          <w:p w:rsidR="00500D88" w:rsidRPr="00DC1D33" w:rsidRDefault="00500D88" w:rsidP="00DC1D33">
            <w:pPr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106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500D88" w:rsidRPr="009B42AE" w:rsidRDefault="00ED5B7D" w:rsidP="00ED5B7D">
            <w:pPr>
              <w:spacing w:before="120" w:after="40"/>
              <w:jc w:val="center"/>
              <w:rPr>
                <w:rFonts w:ascii="Arial Narrow" w:hAnsi="Arial Narrow" w:cs="Arial"/>
                <w:sz w:val="18"/>
              </w:rPr>
            </w:pPr>
            <w:r w:rsidRPr="009B42AE">
              <w:rPr>
                <w:rFonts w:ascii="Arial Narrow" w:hAnsi="Arial Narrow" w:cs="Arial"/>
                <w:sz w:val="18"/>
              </w:rPr>
              <w:t xml:space="preserve">nicht </w:t>
            </w:r>
            <w:r w:rsidRPr="009B42AE">
              <w:rPr>
                <w:rFonts w:ascii="Arial Narrow" w:hAnsi="Arial Narrow" w:cs="Arial"/>
                <w:sz w:val="18"/>
              </w:rPr>
              <w:br/>
              <w:t>erfüllt</w:t>
            </w:r>
            <w:r w:rsidR="00FC6D9D">
              <w:rPr>
                <w:rFonts w:ascii="Arial Narrow" w:hAnsi="Arial Narrow" w:cs="Arial"/>
                <w:sz w:val="18"/>
              </w:rPr>
              <w:br/>
              <w:t>(nicht vorgehalten)</w:t>
            </w:r>
          </w:p>
        </w:tc>
        <w:tc>
          <w:tcPr>
            <w:tcW w:w="106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500D88" w:rsidRPr="009B42AE" w:rsidRDefault="00500D88" w:rsidP="00ED5B7D">
            <w:pPr>
              <w:spacing w:before="120" w:after="40"/>
              <w:jc w:val="center"/>
              <w:rPr>
                <w:rFonts w:ascii="Arial Narrow" w:hAnsi="Arial Narrow" w:cs="Arial"/>
                <w:sz w:val="18"/>
              </w:rPr>
            </w:pPr>
            <w:r w:rsidRPr="009B42AE">
              <w:rPr>
                <w:rFonts w:ascii="Arial Narrow" w:hAnsi="Arial Narrow" w:cs="Arial"/>
                <w:sz w:val="18"/>
              </w:rPr>
              <w:t>teilweise erfüllt</w:t>
            </w:r>
          </w:p>
        </w:tc>
        <w:tc>
          <w:tcPr>
            <w:tcW w:w="106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500D88" w:rsidRPr="009B42AE" w:rsidRDefault="00ED5B7D" w:rsidP="00ED5B7D">
            <w:pPr>
              <w:spacing w:before="120" w:after="40"/>
              <w:jc w:val="center"/>
              <w:rPr>
                <w:rFonts w:ascii="Arial Narrow" w:hAnsi="Arial Narrow" w:cs="Arial"/>
                <w:sz w:val="18"/>
              </w:rPr>
            </w:pPr>
            <w:r w:rsidRPr="009B42AE">
              <w:rPr>
                <w:rFonts w:ascii="Arial Narrow" w:hAnsi="Arial Narrow" w:cs="Arial"/>
                <w:sz w:val="18"/>
              </w:rPr>
              <w:t>erfüllt</w:t>
            </w:r>
          </w:p>
        </w:tc>
        <w:tc>
          <w:tcPr>
            <w:tcW w:w="106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500D88" w:rsidRPr="009B42AE" w:rsidRDefault="00500D88" w:rsidP="00ED5B7D">
            <w:pPr>
              <w:spacing w:before="120" w:after="40"/>
              <w:jc w:val="center"/>
              <w:rPr>
                <w:rFonts w:ascii="Arial Narrow" w:hAnsi="Arial Narrow" w:cs="Arial"/>
                <w:sz w:val="18"/>
              </w:rPr>
            </w:pPr>
            <w:r w:rsidRPr="009B42AE">
              <w:rPr>
                <w:rFonts w:ascii="Arial Narrow" w:hAnsi="Arial Narrow" w:cs="Arial"/>
                <w:sz w:val="18"/>
              </w:rPr>
              <w:t>übererfüllt, besondere Expertise</w:t>
            </w:r>
          </w:p>
        </w:tc>
        <w:tc>
          <w:tcPr>
            <w:tcW w:w="3758" w:type="dxa"/>
            <w:vMerge/>
            <w:tcBorders>
              <w:bottom w:val="single" w:sz="2" w:space="0" w:color="auto"/>
            </w:tcBorders>
            <w:shd w:val="clear" w:color="auto" w:fill="FFFF00"/>
          </w:tcPr>
          <w:p w:rsidR="00500D88" w:rsidRPr="00DC1D33" w:rsidRDefault="00500D88" w:rsidP="00DC1D33">
            <w:pPr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689" w:type="dxa"/>
            <w:vMerge/>
            <w:tcBorders>
              <w:bottom w:val="single" w:sz="2" w:space="0" w:color="auto"/>
            </w:tcBorders>
            <w:shd w:val="clear" w:color="auto" w:fill="FFFF00"/>
          </w:tcPr>
          <w:p w:rsidR="00500D88" w:rsidRPr="00DC1D33" w:rsidRDefault="00500D88" w:rsidP="00DC1D33">
            <w:pPr>
              <w:spacing w:before="40" w:after="40"/>
              <w:jc w:val="right"/>
              <w:rPr>
                <w:rFonts w:cs="Arial"/>
                <w:sz w:val="20"/>
              </w:rPr>
            </w:pPr>
          </w:p>
        </w:tc>
        <w:tc>
          <w:tcPr>
            <w:tcW w:w="690" w:type="dxa"/>
            <w:vMerge/>
            <w:tcBorders>
              <w:bottom w:val="single" w:sz="2" w:space="0" w:color="auto"/>
            </w:tcBorders>
            <w:shd w:val="clear" w:color="auto" w:fill="FFFF00"/>
          </w:tcPr>
          <w:p w:rsidR="00500D88" w:rsidRPr="00DC1D33" w:rsidRDefault="00500D88" w:rsidP="00DC1D33">
            <w:pPr>
              <w:spacing w:before="40" w:after="40"/>
              <w:jc w:val="right"/>
              <w:rPr>
                <w:rFonts w:cs="Arial"/>
                <w:sz w:val="20"/>
              </w:rPr>
            </w:pPr>
          </w:p>
        </w:tc>
      </w:tr>
      <w:tr w:rsidR="00036523" w:rsidRPr="00DC1D33" w:rsidTr="00036523">
        <w:trPr>
          <w:cantSplit/>
          <w:trHeight w:val="284"/>
        </w:trPr>
        <w:tc>
          <w:tcPr>
            <w:tcW w:w="23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0B4117" w:rsidRDefault="00036523" w:rsidP="00036523">
            <w:pPr>
              <w:pStyle w:val="StandardWeb"/>
              <w:rPr>
                <w:rStyle w:val="Fett"/>
              </w:rPr>
            </w:pPr>
            <w:r w:rsidRPr="000B4117">
              <w:rPr>
                <w:rStyle w:val="Fett"/>
              </w:rPr>
              <w:t>Allgemeine Grundlagen</w:t>
            </w:r>
          </w:p>
          <w:p w:rsidR="00036523" w:rsidRPr="000B4117" w:rsidRDefault="00036523" w:rsidP="00036523">
            <w:pPr>
              <w:spacing w:before="40" w:after="4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036523" w:rsidRDefault="00036523" w:rsidP="00EC459A">
            <w:pPr>
              <w:spacing w:before="100" w:beforeAutospacing="1" w:after="100" w:afterAutospacing="1"/>
              <w:rPr>
                <w:rFonts w:cs="Arial"/>
              </w:rPr>
            </w:pPr>
            <w:r w:rsidRPr="00036523">
              <w:rPr>
                <w:rFonts w:cs="Arial"/>
              </w:rPr>
              <w:t xml:space="preserve">Entwicklung des Faches der Anästhesiologie zu einer eigenständigen Fachdisziplin </w:t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036523" w:rsidRPr="00DC1D33" w:rsidTr="00EC459A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0B4117" w:rsidRDefault="00036523" w:rsidP="00036523">
            <w:pPr>
              <w:spacing w:before="40" w:after="4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036523" w:rsidRDefault="00EC459A" w:rsidP="00EC459A">
            <w:pPr>
              <w:spacing w:before="100" w:beforeAutospacing="1" w:after="100" w:afterAutospacing="1"/>
              <w:rPr>
                <w:rFonts w:cs="Arial"/>
              </w:rPr>
            </w:pPr>
            <w:r w:rsidRPr="000E4589">
              <w:rPr>
                <w:rFonts w:cs="Arial"/>
              </w:rPr>
              <w:t xml:space="preserve">Medizinproduktgesetzes (MPG) </w:t>
            </w:r>
            <w:r>
              <w:rPr>
                <w:rFonts w:cs="Arial"/>
              </w:rPr>
              <w:t xml:space="preserve">(soweit </w:t>
            </w:r>
            <w:r w:rsidR="000E4589" w:rsidRPr="000E4589">
              <w:rPr>
                <w:rFonts w:cs="Arial"/>
              </w:rPr>
              <w:t xml:space="preserve">für die Anästhesiologie </w:t>
            </w:r>
            <w:r>
              <w:rPr>
                <w:rFonts w:cs="Arial"/>
              </w:rPr>
              <w:t>relevant)</w:t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6523" w:rsidRPr="00DC1D33" w:rsidRDefault="006110DE" w:rsidP="0003652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523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036523" w:rsidRPr="00DC1D33" w:rsidRDefault="00036523" w:rsidP="0003652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74A0E" w:rsidRPr="00DC1D33" w:rsidTr="00767715">
        <w:trPr>
          <w:cantSplit/>
          <w:trHeight w:val="284"/>
        </w:trPr>
        <w:tc>
          <w:tcPr>
            <w:tcW w:w="239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67715" w:rsidRPr="000B4117" w:rsidRDefault="006563D6" w:rsidP="006563D6">
            <w:pPr>
              <w:pStyle w:val="StandardWeb"/>
              <w:rPr>
                <w:rStyle w:val="Fett"/>
              </w:rPr>
            </w:pPr>
            <w:r w:rsidRPr="000B4117">
              <w:rPr>
                <w:rStyle w:val="Fett"/>
              </w:rPr>
              <w:t xml:space="preserve">Präoperative </w:t>
            </w:r>
            <w:r w:rsidR="00767715" w:rsidRPr="000B4117">
              <w:rPr>
                <w:rStyle w:val="Fett"/>
              </w:rPr>
              <w:t>Vorbereitung</w:t>
            </w:r>
          </w:p>
          <w:p w:rsidR="001A75E4" w:rsidRPr="000B4117" w:rsidRDefault="001A75E4" w:rsidP="00767715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A75E4" w:rsidRPr="00DC1D33" w:rsidRDefault="001A75E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"/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2"/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37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767715" w:rsidRDefault="00767715" w:rsidP="00DC1D33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Präoperative </w:t>
            </w:r>
            <w:r w:rsidRPr="00767715">
              <w:rPr>
                <w:rFonts w:cs="Arial"/>
              </w:rPr>
              <w:t>Risikoevaluation, insbesondere Erkennen von Prädiktoren für einen schwierigen Atemweg und eine schwierige Beatmung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1A75E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A75E4" w:rsidRPr="00DC1D33" w:rsidRDefault="001A75E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74A0E" w:rsidRPr="00DC1D33" w:rsidTr="00767715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0B4117" w:rsidRDefault="0063012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630124" w:rsidRPr="00DC1D33" w:rsidRDefault="0063012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0E4589" w:rsidRDefault="00767715" w:rsidP="00767715">
            <w:pPr>
              <w:spacing w:before="40" w:after="40"/>
              <w:rPr>
                <w:rFonts w:cs="Arial"/>
              </w:rPr>
            </w:pPr>
            <w:r w:rsidRPr="000E4589">
              <w:rPr>
                <w:rFonts w:cs="Arial"/>
              </w:rPr>
              <w:t>Auswahl eines geeigneten Anästhesieverfahrens einschließlich des erforderlichen Monitorings und der medikamentösen Prämedikation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3012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3012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74A0E" w:rsidRPr="00DC1D33" w:rsidTr="00767715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0B4117" w:rsidRDefault="0063012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630124" w:rsidRPr="00DC1D33" w:rsidRDefault="0063012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012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0E4589" w:rsidRDefault="000E4589" w:rsidP="00DC1D33">
            <w:pPr>
              <w:spacing w:before="40" w:after="40"/>
              <w:rPr>
                <w:rFonts w:cs="Arial"/>
              </w:rPr>
            </w:pPr>
            <w:r w:rsidRPr="000E4589">
              <w:rPr>
                <w:rFonts w:cs="Arial"/>
              </w:rPr>
              <w:t>Patienten über Risiken von Anästhesieverfahren und -medikamenten aufklären,</w:t>
            </w:r>
            <w:r w:rsidR="00EC459A">
              <w:rPr>
                <w:rFonts w:cs="Arial"/>
              </w:rPr>
              <w:t xml:space="preserve"> </w:t>
            </w:r>
            <w:r w:rsidRPr="000E4589">
              <w:rPr>
                <w:rFonts w:cs="Arial"/>
              </w:rPr>
              <w:t>Voraussetzungen für eine rechtsgültige Einwilligung schaffen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3012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30124" w:rsidRPr="00DC1D33" w:rsidRDefault="0063012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EC459A">
            <w:pPr>
              <w:pStyle w:val="StandardWeb"/>
              <w:rPr>
                <w:rStyle w:val="Fett"/>
              </w:rPr>
            </w:pPr>
            <w:r w:rsidRPr="000B4117">
              <w:rPr>
                <w:rStyle w:val="Fett"/>
              </w:rPr>
              <w:lastRenderedPageBreak/>
              <w:t>Anästhesieverfah</w:t>
            </w:r>
            <w:r>
              <w:rPr>
                <w:rStyle w:val="Fett"/>
              </w:rPr>
              <w:t>-</w:t>
            </w:r>
            <w:r w:rsidRPr="000B4117">
              <w:rPr>
                <w:rStyle w:val="Fett"/>
              </w:rPr>
              <w:t>ren und anästhesiologische Techniken</w:t>
            </w:r>
          </w:p>
        </w:tc>
        <w:tc>
          <w:tcPr>
            <w:tcW w:w="3811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top w:val="single" w:sz="2" w:space="0" w:color="auto"/>
            </w:tcBorders>
            <w:shd w:val="clear" w:color="auto" w:fill="auto"/>
          </w:tcPr>
          <w:p w:rsidR="00900684" w:rsidRPr="007824F2" w:rsidRDefault="00900684" w:rsidP="00C37127">
            <w:pPr>
              <w:spacing w:before="40" w:after="40"/>
              <w:rPr>
                <w:rFonts w:cs="Arial"/>
                <w:szCs w:val="20"/>
              </w:rPr>
            </w:pPr>
            <w:r w:rsidRPr="007824F2">
              <w:rPr>
                <w:rFonts w:cs="Arial"/>
                <w:szCs w:val="20"/>
              </w:rPr>
              <w:t xml:space="preserve">technische Maßnahmen zur </w:t>
            </w:r>
            <w:r w:rsidRPr="005E2220">
              <w:rPr>
                <w:rFonts w:cs="Arial"/>
                <w:b/>
                <w:szCs w:val="20"/>
              </w:rPr>
              <w:t>Behandlung des schwierigen Atemweges</w:t>
            </w:r>
            <w:r w:rsidRPr="007824F2">
              <w:rPr>
                <w:rFonts w:cs="Arial"/>
                <w:szCs w:val="20"/>
              </w:rPr>
              <w:t xml:space="preserve"> und der schwierigen Intubation (Difficult Airway) </w:t>
            </w:r>
          </w:p>
          <w:p w:rsidR="00900684" w:rsidRPr="007824F2" w:rsidRDefault="00900684" w:rsidP="00C37127">
            <w:pPr>
              <w:pStyle w:val="Listenabsatz"/>
              <w:numPr>
                <w:ilvl w:val="0"/>
                <w:numId w:val="4"/>
              </w:numPr>
              <w:spacing w:before="40" w:after="40"/>
              <w:rPr>
                <w:rFonts w:cs="Arial"/>
                <w:szCs w:val="20"/>
              </w:rPr>
            </w:pPr>
            <w:r w:rsidRPr="007824F2">
              <w:rPr>
                <w:rFonts w:cs="Arial"/>
                <w:szCs w:val="20"/>
              </w:rPr>
              <w:t xml:space="preserve">davon fiberoptische Intubationsverfahren (10 fiberoptische Intubationen können im Rahmen eines Airway-Management-Kurses erbracht werden) </w:t>
            </w:r>
          </w:p>
          <w:p w:rsidR="00900684" w:rsidRPr="00C37127" w:rsidRDefault="00900684" w:rsidP="00C37127">
            <w:pPr>
              <w:pStyle w:val="Listenabsatz"/>
              <w:numPr>
                <w:ilvl w:val="0"/>
                <w:numId w:val="4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7824F2">
              <w:rPr>
                <w:rFonts w:cs="Arial"/>
                <w:szCs w:val="20"/>
              </w:rPr>
              <w:t xml:space="preserve">Videolaryngoskopien </w:t>
            </w:r>
          </w:p>
        </w:tc>
        <w:tc>
          <w:tcPr>
            <w:tcW w:w="689" w:type="dxa"/>
            <w:tcBorders>
              <w:top w:val="single" w:sz="2" w:space="0" w:color="auto"/>
            </w:tcBorders>
            <w:shd w:val="clear" w:color="auto" w:fill="auto"/>
          </w:tcPr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690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top w:val="single" w:sz="2" w:space="0" w:color="auto"/>
            </w:tcBorders>
            <w:shd w:val="clear" w:color="auto" w:fill="auto"/>
          </w:tcPr>
          <w:p w:rsidR="00900684" w:rsidRPr="0078799D" w:rsidRDefault="00900684" w:rsidP="0078799D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7824F2">
              <w:rPr>
                <w:rFonts w:cs="Arial"/>
              </w:rPr>
              <w:t xml:space="preserve">Beatmungstechniken einschließlich der Beatmungsentwöhnung </w:t>
            </w:r>
          </w:p>
        </w:tc>
        <w:tc>
          <w:tcPr>
            <w:tcW w:w="689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690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6110DE" w:rsidP="000E4589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6110DE" w:rsidP="000E4589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6110DE" w:rsidP="000E4589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6110DE" w:rsidP="000E4589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top w:val="single" w:sz="2" w:space="0" w:color="auto"/>
            </w:tcBorders>
            <w:shd w:val="clear" w:color="auto" w:fill="auto"/>
          </w:tcPr>
          <w:p w:rsidR="00900684" w:rsidRPr="00900684" w:rsidRDefault="00900684" w:rsidP="000E4589">
            <w:pPr>
              <w:spacing w:before="40" w:after="40"/>
              <w:rPr>
                <w:rFonts w:cs="Arial"/>
                <w:b/>
                <w:szCs w:val="20"/>
              </w:rPr>
            </w:pPr>
            <w:r w:rsidRPr="00900684">
              <w:rPr>
                <w:rFonts w:cs="Arial"/>
                <w:b/>
                <w:szCs w:val="20"/>
              </w:rPr>
              <w:t>Allgemeinanästhesien und intraoperative Beatmung</w:t>
            </w:r>
          </w:p>
          <w:p w:rsidR="00900684" w:rsidRPr="00900684" w:rsidRDefault="00900684" w:rsidP="00900684">
            <w:pPr>
              <w:spacing w:before="40" w:after="40"/>
              <w:rPr>
                <w:rFonts w:cs="Arial"/>
                <w:b/>
                <w:szCs w:val="20"/>
              </w:rPr>
            </w:pPr>
            <w:r w:rsidRPr="00900684">
              <w:rPr>
                <w:rFonts w:cs="Arial"/>
                <w:sz w:val="24"/>
              </w:rPr>
              <w:t>(Einleitung, intraoperative Überwachung, Ausleitung</w:t>
            </w:r>
            <w:r>
              <w:rPr>
                <w:rFonts w:cs="Arial"/>
                <w:sz w:val="24"/>
              </w:rPr>
              <w:t xml:space="preserve"> , p</w:t>
            </w:r>
            <w:r w:rsidRPr="00900684">
              <w:rPr>
                <w:rFonts w:cs="Arial"/>
                <w:sz w:val="24"/>
              </w:rPr>
              <w:t>ostoperative Patientenversorgung</w:t>
            </w:r>
            <w:r>
              <w:rPr>
                <w:rFonts w:cs="Arial"/>
                <w:sz w:val="24"/>
              </w:rPr>
              <w:t xml:space="preserve">, </w:t>
            </w:r>
            <w:r w:rsidRPr="00900684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p</w:t>
            </w:r>
            <w:r w:rsidRPr="00900684">
              <w:rPr>
                <w:rFonts w:cs="Arial"/>
                <w:sz w:val="24"/>
              </w:rPr>
              <w:t xml:space="preserve">ostoperative </w:t>
            </w:r>
            <w:r>
              <w:rPr>
                <w:rFonts w:cs="Arial"/>
                <w:sz w:val="24"/>
              </w:rPr>
              <w:t>Schme</w:t>
            </w:r>
            <w:r w:rsidR="00D562F3">
              <w:rPr>
                <w:rFonts w:cs="Arial"/>
                <w:sz w:val="24"/>
              </w:rPr>
              <w:t>r</w:t>
            </w:r>
            <w:r>
              <w:rPr>
                <w:rFonts w:cs="Arial"/>
                <w:sz w:val="24"/>
              </w:rPr>
              <w:t xml:space="preserve">ztherapie </w:t>
            </w:r>
            <w:r w:rsidRPr="00900684">
              <w:rPr>
                <w:rFonts w:cs="Arial"/>
                <w:sz w:val="24"/>
              </w:rPr>
              <w:t>etc.)</w:t>
            </w:r>
          </w:p>
          <w:p w:rsidR="00900684" w:rsidRDefault="00900684" w:rsidP="000E4589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:rsidR="00900684" w:rsidRPr="0078799D" w:rsidRDefault="00900684" w:rsidP="000E4589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Davon</w:t>
            </w:r>
          </w:p>
        </w:tc>
        <w:tc>
          <w:tcPr>
            <w:tcW w:w="689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0E4589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1800</w:t>
            </w:r>
          </w:p>
        </w:tc>
        <w:tc>
          <w:tcPr>
            <w:tcW w:w="690" w:type="dxa"/>
            <w:tcBorders>
              <w:top w:val="single" w:sz="2" w:space="0" w:color="auto"/>
            </w:tcBorders>
            <w:shd w:val="clear" w:color="auto" w:fill="auto"/>
          </w:tcPr>
          <w:p w:rsidR="00900684" w:rsidRPr="00DC1D33" w:rsidRDefault="00900684" w:rsidP="000E4589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78799D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78799D">
              <w:rPr>
                <w:rFonts w:cs="Arial"/>
                <w:sz w:val="20"/>
                <w:szCs w:val="20"/>
              </w:rPr>
              <w:t>bei abdominellen Eingriffen</w:t>
            </w:r>
          </w:p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78799D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78799D">
              <w:rPr>
                <w:rFonts w:cs="Arial"/>
                <w:sz w:val="20"/>
                <w:szCs w:val="20"/>
              </w:rPr>
              <w:t xml:space="preserve">in der Geburtshilfe </w:t>
            </w:r>
            <w:r>
              <w:rPr>
                <w:rFonts w:cs="Arial"/>
                <w:sz w:val="20"/>
                <w:szCs w:val="20"/>
              </w:rPr>
              <w:t>(ohne Kaiserschnitte)</w:t>
            </w:r>
          </w:p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78799D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78799D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bei Kaiserschnitten</w:t>
            </w:r>
          </w:p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235751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Cs w:val="20"/>
              </w:rPr>
            </w:pPr>
            <w:r w:rsidRPr="00235751">
              <w:rPr>
                <w:rFonts w:cs="Arial"/>
                <w:szCs w:val="20"/>
              </w:rPr>
              <w:t xml:space="preserve">bei Eingriffen im Kopf-Hals-Bereich in den Gebieten der Augenheilkunde, Hals-Nasen-Ohrenheilkunde, Mund-Kiefer-Gesichtschirurgie oder Neurochirurgie </w:t>
            </w:r>
          </w:p>
          <w:p w:rsidR="00900684" w:rsidRPr="00DC1D33" w:rsidRDefault="00900684" w:rsidP="0078799D">
            <w:pPr>
              <w:pStyle w:val="Listenabsatz"/>
              <w:spacing w:before="40" w:after="40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 w:rsidRPr="0078799D"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78799D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78799D">
              <w:rPr>
                <w:rFonts w:cs="Arial"/>
                <w:sz w:val="20"/>
                <w:szCs w:val="20"/>
              </w:rPr>
              <w:t xml:space="preserve">bei Säuglingen und Kleinkindern bis zum vollendeten 5. Lebensjahr </w:t>
            </w: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900684" w:rsidRPr="00DC1D33" w:rsidRDefault="00900684" w:rsidP="0078799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78799D">
              <w:rPr>
                <w:rFonts w:cs="Arial"/>
                <w:sz w:val="20"/>
                <w:szCs w:val="20"/>
              </w:rPr>
              <w:t xml:space="preserve">bei ambulanten Eingriffen </w:t>
            </w: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900684" w:rsidRPr="00DC1D33" w:rsidTr="000B0379">
        <w:trPr>
          <w:cantSplit/>
          <w:trHeight w:val="284"/>
        </w:trPr>
        <w:tc>
          <w:tcPr>
            <w:tcW w:w="2393" w:type="dxa"/>
            <w:vMerge/>
            <w:tcBorders>
              <w:top w:val="single" w:sz="2" w:space="0" w:color="auto"/>
            </w:tcBorders>
            <w:shd w:val="clear" w:color="auto" w:fill="auto"/>
          </w:tcPr>
          <w:p w:rsidR="00900684" w:rsidRPr="000B4117" w:rsidRDefault="00900684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shd w:val="clear" w:color="auto" w:fill="D9D9D9" w:themeFill="background1" w:themeFillShade="D9"/>
          </w:tcPr>
          <w:p w:rsidR="00900684" w:rsidRPr="00DC1D33" w:rsidRDefault="00900684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shd w:val="clear" w:color="auto" w:fill="auto"/>
          </w:tcPr>
          <w:p w:rsidR="00900684" w:rsidRPr="00DC1D33" w:rsidRDefault="006110DE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0684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shd w:val="clear" w:color="auto" w:fill="auto"/>
          </w:tcPr>
          <w:p w:rsidR="00D562F3" w:rsidRPr="00900684" w:rsidRDefault="00900684" w:rsidP="00D562F3">
            <w:pPr>
              <w:spacing w:before="40" w:after="40"/>
              <w:rPr>
                <w:rFonts w:cs="Arial"/>
                <w:b/>
                <w:szCs w:val="20"/>
              </w:rPr>
            </w:pPr>
            <w:r w:rsidRPr="00D562F3">
              <w:rPr>
                <w:rFonts w:cs="Arial"/>
                <w:b/>
                <w:szCs w:val="20"/>
              </w:rPr>
              <w:t>Rückenmarksnahe Regionalanästhesien und peripher-regionalanästhesiologische Verfahren</w:t>
            </w:r>
            <w:r w:rsidR="00D562F3">
              <w:rPr>
                <w:rFonts w:cs="Arial"/>
                <w:b/>
                <w:szCs w:val="20"/>
              </w:rPr>
              <w:t xml:space="preserve"> </w:t>
            </w:r>
            <w:r w:rsidR="00D562F3" w:rsidRPr="00900684">
              <w:rPr>
                <w:rFonts w:cs="Arial"/>
                <w:sz w:val="24"/>
              </w:rPr>
              <w:t>(</w:t>
            </w:r>
            <w:r w:rsidR="00D562F3">
              <w:rPr>
                <w:rFonts w:cs="Arial"/>
                <w:sz w:val="24"/>
              </w:rPr>
              <w:t>Anwendung</w:t>
            </w:r>
            <w:r w:rsidR="00D562F3" w:rsidRPr="00900684">
              <w:rPr>
                <w:rFonts w:cs="Arial"/>
                <w:sz w:val="24"/>
              </w:rPr>
              <w:t xml:space="preserve">, intraoperative Überwachung, </w:t>
            </w:r>
            <w:r w:rsidR="00D562F3">
              <w:rPr>
                <w:rFonts w:cs="Arial"/>
                <w:sz w:val="24"/>
              </w:rPr>
              <w:t>, p</w:t>
            </w:r>
            <w:r w:rsidR="00D562F3" w:rsidRPr="00900684">
              <w:rPr>
                <w:rFonts w:cs="Arial"/>
                <w:sz w:val="24"/>
              </w:rPr>
              <w:t>ostoperative Patientenversorgung</w:t>
            </w:r>
            <w:r w:rsidR="00D562F3">
              <w:rPr>
                <w:rFonts w:cs="Arial"/>
                <w:sz w:val="24"/>
              </w:rPr>
              <w:t xml:space="preserve">, </w:t>
            </w:r>
            <w:r w:rsidR="00D562F3" w:rsidRPr="00900684">
              <w:rPr>
                <w:rFonts w:cs="Arial"/>
                <w:sz w:val="24"/>
              </w:rPr>
              <w:t xml:space="preserve"> </w:t>
            </w:r>
            <w:r w:rsidR="00D562F3">
              <w:rPr>
                <w:rFonts w:cs="Arial"/>
                <w:sz w:val="24"/>
              </w:rPr>
              <w:t>p</w:t>
            </w:r>
            <w:r w:rsidR="00D562F3" w:rsidRPr="00900684">
              <w:rPr>
                <w:rFonts w:cs="Arial"/>
                <w:sz w:val="24"/>
              </w:rPr>
              <w:t xml:space="preserve">ostoperative </w:t>
            </w:r>
            <w:r w:rsidR="00D562F3">
              <w:rPr>
                <w:rFonts w:cs="Arial"/>
                <w:sz w:val="24"/>
              </w:rPr>
              <w:t xml:space="preserve">Schmerztherapie </w:t>
            </w:r>
            <w:r w:rsidR="00D562F3" w:rsidRPr="00900684">
              <w:rPr>
                <w:rFonts w:cs="Arial"/>
                <w:sz w:val="24"/>
              </w:rPr>
              <w:t>etc.)</w:t>
            </w:r>
          </w:p>
          <w:p w:rsidR="00900684" w:rsidRPr="00900684" w:rsidRDefault="00900684" w:rsidP="00900684">
            <w:pPr>
              <w:spacing w:before="40" w:after="40"/>
              <w:rPr>
                <w:rFonts w:cs="Arial"/>
                <w:b/>
                <w:sz w:val="24"/>
                <w:szCs w:val="20"/>
              </w:rPr>
            </w:pPr>
          </w:p>
        </w:tc>
        <w:tc>
          <w:tcPr>
            <w:tcW w:w="689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</w:tcPr>
          <w:p w:rsidR="00900684" w:rsidRPr="00DC1D33" w:rsidRDefault="00900684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E2220" w:rsidRPr="00DC1D33" w:rsidTr="001735EB">
        <w:trPr>
          <w:trHeight w:val="284"/>
        </w:trPr>
        <w:tc>
          <w:tcPr>
            <w:tcW w:w="2393" w:type="dxa"/>
            <w:vMerge w:val="restart"/>
            <w:shd w:val="clear" w:color="auto" w:fill="auto"/>
          </w:tcPr>
          <w:p w:rsidR="005E2220" w:rsidRPr="005E2220" w:rsidRDefault="005E2220" w:rsidP="000B4117">
            <w:pPr>
              <w:pStyle w:val="StandardWeb"/>
              <w:rPr>
                <w:rStyle w:val="Fett"/>
              </w:rPr>
            </w:pPr>
            <w:r w:rsidRPr="00BC1BBD">
              <w:rPr>
                <w:rStyle w:val="Fett"/>
              </w:rPr>
              <w:t>Anästhesie bei Neurochirurgischen Eingriffen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BC1BBD">
              <w:rPr>
                <w:rFonts w:cs="Arial"/>
                <w:szCs w:val="20"/>
              </w:rPr>
              <w:t>die Risiken und Vorteile unterschiedlicher anästhesiologischer Verfahren bei neurochirurgischen und neuroradiologischen Eingriffen kennen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2220" w:rsidRPr="001C20AC" w:rsidRDefault="005E2220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E2220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5E2220" w:rsidRPr="000B4117" w:rsidRDefault="005E2220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5E2220" w:rsidRPr="00235751" w:rsidRDefault="005E2220" w:rsidP="001735EB">
            <w:pPr>
              <w:spacing w:before="40" w:after="40"/>
              <w:rPr>
                <w:rFonts w:cs="Arial"/>
                <w:szCs w:val="20"/>
              </w:rPr>
            </w:pPr>
            <w:r w:rsidRPr="00235751">
              <w:rPr>
                <w:rFonts w:cs="Arial"/>
                <w:szCs w:val="20"/>
              </w:rPr>
              <w:t>Prinzipien und Besonderheiten der Anästhesiologie bei  Intrakraniellen Eingriffe kennen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2220" w:rsidRPr="001C20AC" w:rsidRDefault="005E2220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E2220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5E2220" w:rsidRPr="000B4117" w:rsidRDefault="005E2220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5E2220" w:rsidRPr="00235751" w:rsidRDefault="005E2220" w:rsidP="000926ED">
            <w:pPr>
              <w:spacing w:before="40" w:after="40"/>
              <w:rPr>
                <w:rFonts w:cs="Arial"/>
                <w:szCs w:val="20"/>
              </w:rPr>
            </w:pPr>
            <w:r w:rsidRPr="00235751">
              <w:rPr>
                <w:rFonts w:cs="Arial"/>
                <w:szCs w:val="20"/>
              </w:rPr>
              <w:t>Mitwirkung bei Anästhesien für intrakranielle Eingriffe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6110DE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  <w:r w:rsidRPr="00DC1D33">
              <w:rPr>
                <w:rFonts w:cs="Arial"/>
                <w:sz w:val="24"/>
                <w:szCs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E2220" w:rsidRPr="00DC1D33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Pr="00DC1D33">
              <w:rPr>
                <w:rFonts w:cs="Arial"/>
                <w:sz w:val="24"/>
                <w:szCs w:val="24"/>
              </w:rPr>
            </w:r>
            <w:r w:rsidRPr="00DC1D33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2220" w:rsidRPr="001C20AC" w:rsidRDefault="005E2220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Style w:val="Fett"/>
              </w:rPr>
              <w:t>25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E2220" w:rsidRPr="00DC1D33" w:rsidTr="00EC459A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5E2220" w:rsidRPr="000B4117" w:rsidRDefault="005E2220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5E2220" w:rsidRPr="001C20AC" w:rsidRDefault="005E2220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5E2220" w:rsidRPr="00DC1D33" w:rsidRDefault="005E2220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 w:val="restart"/>
            <w:shd w:val="clear" w:color="auto" w:fill="auto"/>
          </w:tcPr>
          <w:p w:rsidR="001735EB" w:rsidRPr="001735EB" w:rsidRDefault="001735EB" w:rsidP="001735EB">
            <w:pPr>
              <w:pStyle w:val="StandardWeb"/>
              <w:rPr>
                <w:rStyle w:val="Fett"/>
                <w:b w:val="0"/>
                <w:sz w:val="20"/>
              </w:rPr>
            </w:pPr>
            <w:r w:rsidRPr="001735EB">
              <w:rPr>
                <w:b/>
              </w:rPr>
              <w:t>Kinderanästhesie</w:t>
            </w:r>
          </w:p>
          <w:p w:rsidR="001735EB" w:rsidRPr="000B4117" w:rsidRDefault="001735EB" w:rsidP="001735EB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t>Besonderheiten der pädiatrischen Anästhesiologie (Monitoring, intravenöse und intraossäre Gefäßzugäng</w:t>
            </w:r>
            <w:r w:rsidR="00235751">
              <w:t>e, Narkoseeinleitung, -aufrecht</w:t>
            </w:r>
            <w:r>
              <w:t>erhaltung, Flüssigkeits- und Volumentherapie) kennen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3D556C" w:rsidRDefault="001735EB" w:rsidP="001735EB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806CA2">
              <w:rPr>
                <w:rFonts w:cs="Arial"/>
                <w:szCs w:val="20"/>
              </w:rPr>
              <w:t>Ma</w:t>
            </w:r>
            <w:r>
              <w:rPr>
                <w:rFonts w:cs="Arial"/>
                <w:szCs w:val="20"/>
              </w:rPr>
              <w:t>ß</w:t>
            </w:r>
            <w:r w:rsidRPr="00806CA2">
              <w:rPr>
                <w:rFonts w:cs="Arial"/>
                <w:szCs w:val="20"/>
              </w:rPr>
              <w:t>nahmen zur  Wiederbelebung von Neugeborenen, Säuglingen,</w:t>
            </w:r>
            <w:r>
              <w:rPr>
                <w:rFonts w:cs="Arial"/>
                <w:szCs w:val="20"/>
              </w:rPr>
              <w:t xml:space="preserve"> </w:t>
            </w:r>
            <w:r w:rsidRPr="00806CA2">
              <w:rPr>
                <w:rFonts w:cs="Arial"/>
                <w:szCs w:val="20"/>
              </w:rPr>
              <w:t>Kleinkindern und Kindern kennen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1C20AC" w:rsidRDefault="001735EB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1C20AC" w:rsidRDefault="001735EB" w:rsidP="00EC459A">
            <w:pPr>
              <w:spacing w:before="40" w:after="40"/>
              <w:rPr>
                <w:rFonts w:cs="Arial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Pr="001C20AC" w:rsidRDefault="001735EB" w:rsidP="00EC459A">
            <w:pPr>
              <w:spacing w:before="40" w:after="40"/>
              <w:rPr>
                <w:rFonts w:cs="Arial"/>
              </w:rPr>
            </w:pPr>
            <w:r w:rsidRPr="00235751">
              <w:rPr>
                <w:rFonts w:cs="Arial"/>
                <w:szCs w:val="20"/>
              </w:rPr>
              <w:t>Anästhesie bei Säuglingen und Kleinkindern ohne wesentliche Risikofaktoren, bis zum vollendeten 5. Lebensjahr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1C20AC" w:rsidRDefault="001735EB" w:rsidP="00EC459A">
            <w:pPr>
              <w:spacing w:before="40" w:after="40"/>
              <w:rPr>
                <w:rFonts w:cs="Arial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Pr="001C20AC" w:rsidRDefault="001735EB" w:rsidP="00EC459A">
            <w:pPr>
              <w:spacing w:before="40" w:after="40"/>
              <w:rPr>
                <w:rFonts w:cs="Aria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EC459A">
        <w:trPr>
          <w:trHeight w:val="284"/>
        </w:trPr>
        <w:tc>
          <w:tcPr>
            <w:tcW w:w="2393" w:type="dxa"/>
            <w:vMerge w:val="restart"/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  <w:r w:rsidRPr="000B4117">
              <w:rPr>
                <w:rStyle w:val="Fett"/>
              </w:rPr>
              <w:t>Geburtshilfliche Anästhesie</w:t>
            </w:r>
          </w:p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DC1D33" w:rsidRDefault="001735EB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Pr="001C20AC" w:rsidRDefault="001735EB" w:rsidP="001735EB">
            <w:pPr>
              <w:spacing w:before="40" w:after="40"/>
              <w:rPr>
                <w:rFonts w:cs="Arial"/>
              </w:rPr>
            </w:pPr>
            <w:r w:rsidRPr="001C20AC">
              <w:rPr>
                <w:rFonts w:cs="Arial"/>
              </w:rPr>
              <w:t>Allgemeinanästhesie, Regionalanästhesie und perioperative Behandlung bei schwangeren Patientinnen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DC1D33" w:rsidRDefault="001735EB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Pr="001C20AC" w:rsidRDefault="001735EB" w:rsidP="001735EB">
            <w:pPr>
              <w:spacing w:before="40" w:after="40"/>
              <w:rPr>
                <w:rFonts w:cs="Arial"/>
              </w:rPr>
            </w:pPr>
            <w:r w:rsidRPr="001C20AC">
              <w:rPr>
                <w:rFonts w:cs="Arial"/>
              </w:rPr>
              <w:t>Schmerztherapie während der Geburt inklusive Sectio caesarea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1735EB">
        <w:trPr>
          <w:trHeight w:val="284"/>
        </w:trPr>
        <w:tc>
          <w:tcPr>
            <w:tcW w:w="2393" w:type="dxa"/>
            <w:vMerge/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BC1BBD" w:rsidRDefault="001735EB" w:rsidP="00BC1BBD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Default="001735EB" w:rsidP="001735EB">
            <w:pPr>
              <w:tabs>
                <w:tab w:val="num" w:pos="502"/>
              </w:tabs>
              <w:spacing w:before="40" w:after="40"/>
              <w:rPr>
                <w:rFonts w:cs="Arial"/>
              </w:rPr>
            </w:pPr>
            <w:r w:rsidRPr="007824F2">
              <w:rPr>
                <w:rFonts w:cs="Arial"/>
              </w:rPr>
              <w:t xml:space="preserve">selbstständig durchgeführte Anästhesieverfahren in der </w:t>
            </w:r>
            <w:r w:rsidRPr="007824F2">
              <w:rPr>
                <w:rFonts w:cs="Arial"/>
              </w:rPr>
              <w:lastRenderedPageBreak/>
              <w:t xml:space="preserve">Geburtshilfe 50, </w:t>
            </w:r>
          </w:p>
          <w:p w:rsidR="001735EB" w:rsidRPr="007824F2" w:rsidRDefault="001735EB" w:rsidP="001735EB">
            <w:pPr>
              <w:pStyle w:val="Listenabsatz"/>
              <w:numPr>
                <w:ilvl w:val="0"/>
                <w:numId w:val="6"/>
              </w:numPr>
              <w:tabs>
                <w:tab w:val="num" w:pos="502"/>
              </w:tabs>
              <w:spacing w:before="40" w:after="40"/>
              <w:rPr>
                <w:rFonts w:cs="Arial"/>
              </w:rPr>
            </w:pPr>
            <w:r w:rsidRPr="007824F2">
              <w:rPr>
                <w:rFonts w:cs="Arial"/>
              </w:rPr>
              <w:t>davon bei Kaiserschnitten 25</w:t>
            </w:r>
          </w:p>
          <w:p w:rsidR="001735EB" w:rsidRPr="001C20AC" w:rsidRDefault="001735EB" w:rsidP="001735EB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50</w:t>
            </w:r>
          </w:p>
          <w:p w:rsidR="001735EB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1735EB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1735EB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1735EB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BC1BBD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  <w:r w:rsidRPr="000B4117">
              <w:rPr>
                <w:rStyle w:val="Fett"/>
              </w:rPr>
              <w:lastRenderedPageBreak/>
              <w:t>Anästhesie bei Thoraxeingriffen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735EB" w:rsidRPr="00BC1BBD" w:rsidRDefault="001735EB" w:rsidP="00DC1D33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1735EB" w:rsidRPr="001C20AC" w:rsidRDefault="001735EB" w:rsidP="001C20A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B407FD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735EB" w:rsidRPr="00BC1BBD" w:rsidRDefault="00B407FD" w:rsidP="001735EB">
            <w:pPr>
              <w:spacing w:before="40" w:after="40"/>
              <w:rPr>
                <w:rFonts w:cs="Arial"/>
                <w:szCs w:val="20"/>
              </w:rPr>
            </w:pPr>
            <w:r>
              <w:t>Prinzipien und Besonderheiten der Anästhesiologie bei throraxchirurgischen Eingriffen kennen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1C20AC" w:rsidRDefault="001735EB" w:rsidP="003D556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735EB" w:rsidRPr="00DC1D33" w:rsidTr="00B407FD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1735EB" w:rsidRPr="000B4117" w:rsidRDefault="001735EB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07FD" w:rsidRDefault="00B407FD" w:rsidP="00B407FD">
            <w:r>
              <w:t>perioperative Schmerztherapie (einschließlich epiduraler, paravertebral und intervertebraler Blockaden) in der Thoraxchirurgie  kennen</w:t>
            </w:r>
          </w:p>
          <w:p w:rsidR="001735EB" w:rsidRPr="00DC1D33" w:rsidRDefault="001735EB" w:rsidP="00B407F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735EB" w:rsidRPr="003D556C" w:rsidRDefault="001735EB" w:rsidP="00B407FD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1735EB" w:rsidRPr="00DC1D33" w:rsidRDefault="001735EB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407FD" w:rsidRPr="00DC1D33" w:rsidTr="001735EB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407FD" w:rsidRPr="000B4117" w:rsidRDefault="00B407FD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07FD" w:rsidRPr="00DC1D33" w:rsidRDefault="00B407FD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B407FD" w:rsidRPr="003D556C" w:rsidRDefault="00B407FD" w:rsidP="00235751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Mitwirkung bei Anästhesien für intrathorakale Eingriffe 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B407FD" w:rsidRPr="00BC1BBD" w:rsidRDefault="00B407FD" w:rsidP="00235751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25</w:t>
            </w:r>
          </w:p>
          <w:p w:rsidR="00B407FD" w:rsidRPr="00DC1D33" w:rsidRDefault="00B407FD" w:rsidP="00235751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407FD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407FD" w:rsidRPr="00235751" w:rsidRDefault="00235751" w:rsidP="00BC1BBD">
            <w:pPr>
              <w:pStyle w:val="StandardWeb"/>
              <w:rPr>
                <w:rStyle w:val="Fett"/>
              </w:rPr>
            </w:pPr>
            <w:r w:rsidRPr="00235751">
              <w:rPr>
                <w:rStyle w:val="Fett"/>
                <w:bCs w:val="0"/>
              </w:rPr>
              <w:t>N</w:t>
            </w:r>
            <w:r w:rsidRPr="00235751">
              <w:rPr>
                <w:rStyle w:val="Fett"/>
              </w:rPr>
              <w:t>arkosen bei Operation im Kopf-/Halsbereich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07FD" w:rsidRPr="00DC1D33" w:rsidRDefault="00B407FD" w:rsidP="005E2220">
            <w:pPr>
              <w:spacing w:before="100" w:beforeAutospacing="1" w:after="100" w:afterAutospacing="1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235751" w:rsidRPr="00235751" w:rsidRDefault="00235751" w:rsidP="00235751">
            <w:pPr>
              <w:spacing w:before="40" w:after="40"/>
              <w:rPr>
                <w:rFonts w:cs="Arial"/>
                <w:szCs w:val="20"/>
              </w:rPr>
            </w:pPr>
            <w:r w:rsidRPr="00235751">
              <w:rPr>
                <w:rFonts w:cs="Arial"/>
                <w:szCs w:val="20"/>
              </w:rPr>
              <w:t xml:space="preserve">Narkosen bei Eingriffen im Kopf-Hals-Bereich in den Gebieten der Augenheilkunde, Hals-Nasen-Ohrenheilkunde, Mund-Kiefer-Gesichtschirurgie oder Neurochirurgie </w:t>
            </w:r>
          </w:p>
          <w:p w:rsidR="00B407FD" w:rsidRPr="003D556C" w:rsidRDefault="00B407FD" w:rsidP="003D556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B407FD" w:rsidRPr="00235751" w:rsidRDefault="00235751" w:rsidP="00235751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 w:rsidRPr="00235751">
              <w:rPr>
                <w:rFonts w:cs="Arial"/>
                <w:szCs w:val="20"/>
              </w:rPr>
              <w:t>100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407FD" w:rsidRPr="00DC1D33" w:rsidTr="00C47C7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407FD" w:rsidRPr="00235751" w:rsidRDefault="00235751" w:rsidP="000B4117">
            <w:pPr>
              <w:pStyle w:val="StandardWeb"/>
              <w:rPr>
                <w:rStyle w:val="Fett"/>
              </w:rPr>
            </w:pPr>
            <w:r w:rsidRPr="00235751">
              <w:rPr>
                <w:b/>
              </w:rPr>
              <w:t>Kardioanästhesie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07FD" w:rsidRPr="002E1D14" w:rsidRDefault="002E1D14" w:rsidP="002E1D14">
            <w:pPr>
              <w:spacing w:before="40" w:after="40"/>
              <w:rPr>
                <w:rFonts w:cs="Arial"/>
              </w:rPr>
            </w:pPr>
            <w:r w:rsidRPr="002E1D14">
              <w:t xml:space="preserve">Prinzipien und Besonderheiten der Anästhesiologie bei </w:t>
            </w:r>
            <w:r w:rsidRPr="002E1D14">
              <w:lastRenderedPageBreak/>
              <w:t xml:space="preserve">kardiochirurgischen Eingriffen kennen, insbesondere die  </w:t>
            </w:r>
            <w:r w:rsidRPr="002E1D14">
              <w:rPr>
                <w:rFonts w:cs="Arial"/>
              </w:rPr>
              <w:t>Besonderheiten des kardiopulmonalen Bypasses und anderer kreislaufunterstützender Maßnahmen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07FD" w:rsidRPr="00806CA2" w:rsidRDefault="00B407FD" w:rsidP="00806CA2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407FD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407FD" w:rsidRPr="002E1D14" w:rsidRDefault="002E1D14" w:rsidP="002E1D14">
            <w:pPr>
              <w:pStyle w:val="StandardWeb"/>
              <w:rPr>
                <w:rStyle w:val="Fett"/>
              </w:rPr>
            </w:pPr>
            <w:r w:rsidRPr="002E1D14">
              <w:rPr>
                <w:b/>
              </w:rPr>
              <w:lastRenderedPageBreak/>
              <w:t>Ambulante Anästhesie</w:t>
            </w:r>
            <w:r>
              <w:rPr>
                <w:b/>
              </w:rPr>
              <w:t xml:space="preserve"> und </w:t>
            </w:r>
            <w:r w:rsidRPr="002E1D14">
              <w:rPr>
                <w:b/>
              </w:rPr>
              <w:t>anästhesiologische Verfahren außerhalb eines zentralen Operationsbereich</w:t>
            </w:r>
            <w:r>
              <w:rPr>
                <w:b/>
              </w:rPr>
              <w:t>s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07FD" w:rsidRPr="00DC1D33" w:rsidRDefault="00B407FD" w:rsidP="005E2220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2E1D14" w:rsidRPr="00E919E0" w:rsidRDefault="002E1D14" w:rsidP="002E1D14">
            <w:pPr>
              <w:spacing w:before="40" w:after="40"/>
              <w:rPr>
                <w:rFonts w:cs="Arial"/>
                <w:szCs w:val="20"/>
              </w:rPr>
            </w:pPr>
            <w:r w:rsidRPr="00E919E0">
              <w:rPr>
                <w:rFonts w:cs="Arial"/>
                <w:szCs w:val="20"/>
              </w:rPr>
              <w:t>Anästhesie bei ambulanten Operationen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B407FD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B407FD" w:rsidRPr="000B4117" w:rsidRDefault="00B407FD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07FD" w:rsidRPr="005E2220" w:rsidRDefault="00B407FD" w:rsidP="005E2220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B407FD" w:rsidRPr="00E919E0" w:rsidRDefault="002E1D14" w:rsidP="002E1D14">
            <w:pPr>
              <w:spacing w:before="40" w:after="40"/>
              <w:rPr>
                <w:rFonts w:cs="Arial"/>
                <w:szCs w:val="20"/>
              </w:rPr>
            </w:pPr>
            <w:r w:rsidRPr="00E919E0">
              <w:rPr>
                <w:rFonts w:cs="Arial"/>
                <w:szCs w:val="20"/>
              </w:rPr>
              <w:t>Anästhesie außerhalb eines Operationsbereichs (zB CT, Endoskopie)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B407FD" w:rsidRPr="00DC1D33" w:rsidRDefault="00B407FD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  <w:r w:rsidRPr="002E1D14">
              <w:rPr>
                <w:b/>
              </w:rPr>
              <w:t>Intensivmedizin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Diagnostik und Therapie vital bedrohlicher Erkrankungen und Zustände auf einer Intensivstation oder Intermediate Care Station, insbesondere: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respiratorische Insuffizienz, 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kardiale Insuffizienz, 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Ein- und Mehrorganversagen, 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Delir, 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endokrine Störungen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erhöhter Hirndruck</w:t>
            </w:r>
          </w:p>
          <w:p w:rsidR="007C0993" w:rsidRPr="00BC1BBD" w:rsidRDefault="007C0993" w:rsidP="00EC459A">
            <w:pPr>
              <w:pStyle w:val="Listenabsatz"/>
              <w:numPr>
                <w:ilvl w:val="0"/>
                <w:numId w:val="2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Sepsis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Intensivmedizinische Behandlung von Patienten mit Funktionsstörungen von mind. zwei vitalen Organsystemen 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 w:rsidRPr="007A6A6D"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C459A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Analgosedierung von intensivmedizinischen Patienten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atemunterstützende Maßnahmen bei nicht-intubierten Patienten, differenzierte Beatmungstechniken einschließlich Beatmungsentwöhnung bei langzeitbeatmeten Patienten 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919E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differenzierte Flüssigkeits- und Volumentherapie inkl. Transfusions- und Blutersatztherapie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BC1BBD" w:rsidRDefault="007C0993" w:rsidP="00EC459A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enterale und parenterale Ernährungindizieren und anwenden, Ernährungsplan erstellen und Stoffwechselentgleisungen therapieren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0993" w:rsidRPr="00BC1BBD" w:rsidRDefault="007C0993" w:rsidP="00BC1BBD">
            <w:p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Punktions- und Katheterisierungstechniken, davon</w:t>
            </w:r>
          </w:p>
          <w:p w:rsidR="007C0993" w:rsidRPr="00BC1BBD" w:rsidRDefault="007C0993" w:rsidP="00BC1BBD">
            <w:pPr>
              <w:pStyle w:val="Listenabsatz"/>
              <w:numPr>
                <w:ilvl w:val="0"/>
                <w:numId w:val="7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Zentralvenöse Gefäßzugänge 30</w:t>
            </w:r>
          </w:p>
          <w:p w:rsidR="007C0993" w:rsidRPr="00BC1BBD" w:rsidRDefault="007C0993" w:rsidP="00BC1BBD">
            <w:pPr>
              <w:pStyle w:val="Listenabsatz"/>
              <w:numPr>
                <w:ilvl w:val="0"/>
                <w:numId w:val="7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arterielle Gefäßzugänge 30</w:t>
            </w:r>
          </w:p>
          <w:p w:rsidR="007C0993" w:rsidRPr="00BC1BBD" w:rsidRDefault="007C0993" w:rsidP="00BC1BBD">
            <w:pPr>
              <w:pStyle w:val="Listenabsatz"/>
              <w:numPr>
                <w:ilvl w:val="0"/>
                <w:numId w:val="7"/>
              </w:numPr>
              <w:spacing w:before="40" w:after="40"/>
              <w:rPr>
                <w:rFonts w:cs="Arial"/>
                <w:szCs w:val="20"/>
              </w:rPr>
            </w:pPr>
            <w:r w:rsidRPr="00BC1BBD">
              <w:rPr>
                <w:rFonts w:cs="Arial"/>
                <w:szCs w:val="20"/>
              </w:rPr>
              <w:t>sonstige Punktionen (z.B. Pleurapunktionen, Pleuradrainagen) 5</w:t>
            </w:r>
          </w:p>
          <w:p w:rsidR="007C0993" w:rsidRPr="00BC1BBD" w:rsidRDefault="007C0993" w:rsidP="00BC1BBD">
            <w:pPr>
              <w:pStyle w:val="Listenabsatz"/>
              <w:numPr>
                <w:ilvl w:val="0"/>
                <w:numId w:val="7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BC1BBD">
              <w:rPr>
                <w:rFonts w:cs="Arial"/>
                <w:szCs w:val="20"/>
              </w:rPr>
              <w:t xml:space="preserve">sonographisch gesteuerte </w:t>
            </w:r>
            <w:r w:rsidRPr="00BC1BBD">
              <w:rPr>
                <w:rFonts w:cs="Arial"/>
                <w:szCs w:val="20"/>
              </w:rPr>
              <w:lastRenderedPageBreak/>
              <w:t>Punktionen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EC459A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vMerge w:val="restart"/>
            <w:shd w:val="clear" w:color="auto" w:fill="auto"/>
          </w:tcPr>
          <w:p w:rsidR="007C0993" w:rsidRPr="000B4117" w:rsidRDefault="007C0993" w:rsidP="000B4117">
            <w:pPr>
              <w:pStyle w:val="StandardWeb"/>
              <w:rPr>
                <w:rStyle w:val="Fett"/>
              </w:rPr>
            </w:pPr>
            <w:r w:rsidRPr="004F556B">
              <w:rPr>
                <w:rFonts w:ascii="Calibri" w:hAnsi="Calibri" w:cs="Calibri"/>
                <w:b/>
                <w:bCs/>
                <w:sz w:val="32"/>
              </w:rPr>
              <w:lastRenderedPageBreak/>
              <w:t>Schmerzmedizin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C0993" w:rsidRPr="00C47C70" w:rsidRDefault="007C0993" w:rsidP="007C0993">
            <w:pPr>
              <w:spacing w:before="40" w:after="40"/>
              <w:rPr>
                <w:rFonts w:cs="Arial"/>
                <w:szCs w:val="20"/>
              </w:rPr>
            </w:pPr>
            <w:r w:rsidRPr="00C47C70">
              <w:rPr>
                <w:rFonts w:cs="Arial"/>
                <w:szCs w:val="20"/>
              </w:rPr>
              <w:t xml:space="preserve">Periphere Regionalanästhesien und Nervenblockaden zur perioperative regionale Schmerztherapie 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C47C70" w:rsidRDefault="007C0993" w:rsidP="00C47C70">
            <w:pPr>
              <w:spacing w:before="40" w:after="40"/>
              <w:rPr>
                <w:rFonts w:cs="Arial"/>
                <w:szCs w:val="20"/>
              </w:rPr>
            </w:pPr>
            <w:r w:rsidRPr="00C47C70">
              <w:rPr>
                <w:rFonts w:cs="Arial"/>
                <w:szCs w:val="20"/>
              </w:rPr>
              <w:t xml:space="preserve">Verfahren zur pharmakologischen </w:t>
            </w:r>
            <w:r w:rsidR="008370DA" w:rsidRPr="00C47C70">
              <w:rPr>
                <w:rFonts w:cs="Arial"/>
                <w:szCs w:val="20"/>
              </w:rPr>
              <w:t xml:space="preserve">und </w:t>
            </w:r>
            <w:r w:rsidRPr="00C47C70">
              <w:rPr>
                <w:rFonts w:cs="Arial"/>
                <w:szCs w:val="20"/>
              </w:rPr>
              <w:t xml:space="preserve"> nicht-pharmakologischen Schmerztherapie anwenden</w:t>
            </w:r>
          </w:p>
          <w:p w:rsidR="007C0993" w:rsidRPr="00C47C70" w:rsidRDefault="007C0993" w:rsidP="00C47C70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C47C7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C47C70" w:rsidRDefault="00C47C70" w:rsidP="00DC1D33">
            <w:pPr>
              <w:spacing w:before="40" w:after="40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  <w:r w:rsidRPr="00C47C70"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  <w:t>Notfall- und Zwischenfallsmanagement, Trauma und Verbrennungen Rettungswesen</w:t>
            </w: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7C0993" w:rsidRDefault="00C47C70" w:rsidP="007C099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C47C70">
              <w:rPr>
                <w:rFonts w:cs="Arial"/>
                <w:szCs w:val="20"/>
              </w:rPr>
              <w:t>Reanimation (ALS beim Erwachsenen)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919E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C47C70" w:rsidRDefault="007C0993" w:rsidP="00DC1D33">
            <w:pPr>
              <w:spacing w:before="40" w:after="40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7C0993" w:rsidRDefault="00C47C70" w:rsidP="00C47C7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C47C70">
              <w:rPr>
                <w:rFonts w:cs="Arial"/>
              </w:rPr>
              <w:t xml:space="preserve">innerklinischer Transport von Intensivpatienten Vorbereitung zum Interhospitaltransfer 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7C0993" w:rsidRPr="00DC1D33" w:rsidTr="00E919E0">
        <w:trPr>
          <w:trHeight w:val="284"/>
        </w:trPr>
        <w:tc>
          <w:tcPr>
            <w:tcW w:w="2393" w:type="dxa"/>
            <w:tcBorders>
              <w:bottom w:val="single" w:sz="4" w:space="0" w:color="auto"/>
            </w:tcBorders>
            <w:shd w:val="clear" w:color="auto" w:fill="auto"/>
          </w:tcPr>
          <w:p w:rsidR="007C0993" w:rsidRPr="00C47C70" w:rsidRDefault="007C0993" w:rsidP="00DC1D33">
            <w:pPr>
              <w:spacing w:before="40" w:after="40"/>
              <w:rPr>
                <w:rFonts w:eastAsia="Times New Roman" w:cs="Arial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0993" w:rsidRPr="00DC1D33" w:rsidRDefault="007C0993" w:rsidP="00DC1D3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758" w:type="dxa"/>
            <w:tcBorders>
              <w:bottom w:val="single" w:sz="4" w:space="0" w:color="auto"/>
            </w:tcBorders>
            <w:shd w:val="clear" w:color="auto" w:fill="auto"/>
          </w:tcPr>
          <w:p w:rsidR="007C0993" w:rsidRPr="007C0993" w:rsidRDefault="00C47C70" w:rsidP="007C099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C47C70">
              <w:rPr>
                <w:rFonts w:cs="Arial"/>
              </w:rPr>
              <w:t>die Erstversorgung beim Traumapatienten (inkl. Brandverletzten)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</w:tcPr>
          <w:p w:rsidR="007C0993" w:rsidRPr="00DC1D33" w:rsidRDefault="007C0993" w:rsidP="00DC1D33">
            <w:pPr>
              <w:spacing w:before="40" w:after="40"/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:rsidR="008D468F" w:rsidRPr="00D77037" w:rsidRDefault="008D468F">
      <w:pPr>
        <w:rPr>
          <w:rFonts w:cs="Arial"/>
        </w:rPr>
      </w:pPr>
    </w:p>
    <w:sectPr w:rsidR="008D468F" w:rsidRPr="00D77037" w:rsidSect="00885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601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3DA" w:rsidRDefault="009F63DA" w:rsidP="008D468F">
      <w:pPr>
        <w:spacing w:before="0"/>
      </w:pPr>
      <w:r>
        <w:separator/>
      </w:r>
    </w:p>
  </w:endnote>
  <w:endnote w:type="continuationSeparator" w:id="1">
    <w:p w:rsidR="009F63DA" w:rsidRDefault="009F63DA" w:rsidP="008D468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3DA" w:rsidRDefault="009F63DA" w:rsidP="008D468F">
      <w:pPr>
        <w:spacing w:before="0"/>
      </w:pPr>
      <w:r>
        <w:separator/>
      </w:r>
    </w:p>
  </w:footnote>
  <w:footnote w:type="continuationSeparator" w:id="1">
    <w:p w:rsidR="009F63DA" w:rsidRDefault="009F63DA" w:rsidP="008D468F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2660" o:spid="_x0000_s2050" type="#_x0000_t136" style="position:absolute;margin-left:0;margin-top:0;width:511.6pt;height:127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 w:rsidP="00820AD8">
    <w:pPr>
      <w:pStyle w:val="Kopfzeile"/>
      <w:spacing w:before="0"/>
      <w:jc w:val="right"/>
    </w:pPr>
    <w:r w:rsidRPr="006110DE">
      <w:rPr>
        <w:noProof/>
        <w:sz w:val="32"/>
        <w:shd w:val="clear" w:color="auto" w:fill="D9D9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2661" o:spid="_x0000_s2051" type="#_x0000_t136" style="position:absolute;left:0;text-align:left;margin-left:0;margin-top:0;width:511.6pt;height:127.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51" w:rsidRDefault="00235751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852659" o:spid="_x0000_s2049" type="#_x0000_t136" style="position:absolute;margin-left:0;margin-top:0;width:511.6pt;height:127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01F7"/>
    <w:multiLevelType w:val="hybridMultilevel"/>
    <w:tmpl w:val="0784A24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6629A1"/>
    <w:multiLevelType w:val="hybridMultilevel"/>
    <w:tmpl w:val="8D1E2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6097B"/>
    <w:multiLevelType w:val="hybridMultilevel"/>
    <w:tmpl w:val="BBFC3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E26E4"/>
    <w:multiLevelType w:val="hybridMultilevel"/>
    <w:tmpl w:val="2E8887D8"/>
    <w:lvl w:ilvl="0" w:tplc="9238F6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04EB1"/>
    <w:multiLevelType w:val="hybridMultilevel"/>
    <w:tmpl w:val="2CB22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B18C9"/>
    <w:multiLevelType w:val="hybridMultilevel"/>
    <w:tmpl w:val="0E8693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5615A"/>
    <w:multiLevelType w:val="multilevel"/>
    <w:tmpl w:val="2744E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B974729"/>
    <w:multiLevelType w:val="hybridMultilevel"/>
    <w:tmpl w:val="57C22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D468F"/>
    <w:rsid w:val="00005FA3"/>
    <w:rsid w:val="00033444"/>
    <w:rsid w:val="00036523"/>
    <w:rsid w:val="00043F57"/>
    <w:rsid w:val="000741F8"/>
    <w:rsid w:val="000926ED"/>
    <w:rsid w:val="000B0379"/>
    <w:rsid w:val="000B30AF"/>
    <w:rsid w:val="000B4117"/>
    <w:rsid w:val="000C06EF"/>
    <w:rsid w:val="000E4589"/>
    <w:rsid w:val="00100687"/>
    <w:rsid w:val="00120EC8"/>
    <w:rsid w:val="0015487D"/>
    <w:rsid w:val="001735EB"/>
    <w:rsid w:val="00193348"/>
    <w:rsid w:val="001A75E4"/>
    <w:rsid w:val="001B59B3"/>
    <w:rsid w:val="001C20AC"/>
    <w:rsid w:val="001C5299"/>
    <w:rsid w:val="00235751"/>
    <w:rsid w:val="00293672"/>
    <w:rsid w:val="002A6C4B"/>
    <w:rsid w:val="002D3D63"/>
    <w:rsid w:val="002E1D14"/>
    <w:rsid w:val="002F058E"/>
    <w:rsid w:val="00310795"/>
    <w:rsid w:val="00332E0A"/>
    <w:rsid w:val="00377CC4"/>
    <w:rsid w:val="00387B74"/>
    <w:rsid w:val="003D556C"/>
    <w:rsid w:val="00483948"/>
    <w:rsid w:val="004B20C5"/>
    <w:rsid w:val="00500D88"/>
    <w:rsid w:val="00507E5D"/>
    <w:rsid w:val="0058160F"/>
    <w:rsid w:val="005E2220"/>
    <w:rsid w:val="005E48EF"/>
    <w:rsid w:val="005F7C7A"/>
    <w:rsid w:val="006066A1"/>
    <w:rsid w:val="006110DE"/>
    <w:rsid w:val="00621AFE"/>
    <w:rsid w:val="00630124"/>
    <w:rsid w:val="00654CFB"/>
    <w:rsid w:val="006563D6"/>
    <w:rsid w:val="006B670E"/>
    <w:rsid w:val="006F41DD"/>
    <w:rsid w:val="00702DEE"/>
    <w:rsid w:val="0070333D"/>
    <w:rsid w:val="00711C5D"/>
    <w:rsid w:val="00716588"/>
    <w:rsid w:val="007175A2"/>
    <w:rsid w:val="0073468B"/>
    <w:rsid w:val="00767715"/>
    <w:rsid w:val="007824F2"/>
    <w:rsid w:val="0078799D"/>
    <w:rsid w:val="00797C58"/>
    <w:rsid w:val="007A6A6D"/>
    <w:rsid w:val="007B243D"/>
    <w:rsid w:val="007B3D93"/>
    <w:rsid w:val="007B3DDC"/>
    <w:rsid w:val="007C0993"/>
    <w:rsid w:val="007D7C66"/>
    <w:rsid w:val="007F5204"/>
    <w:rsid w:val="008056D3"/>
    <w:rsid w:val="00806CA2"/>
    <w:rsid w:val="00820AD8"/>
    <w:rsid w:val="00830A39"/>
    <w:rsid w:val="00836306"/>
    <w:rsid w:val="008370DA"/>
    <w:rsid w:val="00854443"/>
    <w:rsid w:val="00864897"/>
    <w:rsid w:val="00884004"/>
    <w:rsid w:val="008854C5"/>
    <w:rsid w:val="008A04B6"/>
    <w:rsid w:val="008D468F"/>
    <w:rsid w:val="008E6BE7"/>
    <w:rsid w:val="00900684"/>
    <w:rsid w:val="00916C57"/>
    <w:rsid w:val="0095247F"/>
    <w:rsid w:val="00961B9F"/>
    <w:rsid w:val="00976BFE"/>
    <w:rsid w:val="009A3970"/>
    <w:rsid w:val="009B42AE"/>
    <w:rsid w:val="009E31C0"/>
    <w:rsid w:val="009F0239"/>
    <w:rsid w:val="009F63DA"/>
    <w:rsid w:val="00A234E5"/>
    <w:rsid w:val="00AA3356"/>
    <w:rsid w:val="00B22F93"/>
    <w:rsid w:val="00B26D74"/>
    <w:rsid w:val="00B35B31"/>
    <w:rsid w:val="00B35D56"/>
    <w:rsid w:val="00B407FD"/>
    <w:rsid w:val="00B47FA5"/>
    <w:rsid w:val="00B63ACF"/>
    <w:rsid w:val="00B74A0E"/>
    <w:rsid w:val="00B82652"/>
    <w:rsid w:val="00B96D4B"/>
    <w:rsid w:val="00BC1BBD"/>
    <w:rsid w:val="00BF70C8"/>
    <w:rsid w:val="00C067D7"/>
    <w:rsid w:val="00C316A5"/>
    <w:rsid w:val="00C3353A"/>
    <w:rsid w:val="00C37127"/>
    <w:rsid w:val="00C47C70"/>
    <w:rsid w:val="00C52B2E"/>
    <w:rsid w:val="00C625E1"/>
    <w:rsid w:val="00C71DB5"/>
    <w:rsid w:val="00CB1E26"/>
    <w:rsid w:val="00CC16C2"/>
    <w:rsid w:val="00CD42DE"/>
    <w:rsid w:val="00CD609E"/>
    <w:rsid w:val="00CD64BC"/>
    <w:rsid w:val="00CE46B0"/>
    <w:rsid w:val="00D31166"/>
    <w:rsid w:val="00D52BB5"/>
    <w:rsid w:val="00D54502"/>
    <w:rsid w:val="00D562F3"/>
    <w:rsid w:val="00D56E75"/>
    <w:rsid w:val="00D571FC"/>
    <w:rsid w:val="00D77037"/>
    <w:rsid w:val="00D9577A"/>
    <w:rsid w:val="00DB182B"/>
    <w:rsid w:val="00DB7ED3"/>
    <w:rsid w:val="00DC1D33"/>
    <w:rsid w:val="00E36A33"/>
    <w:rsid w:val="00E919E0"/>
    <w:rsid w:val="00E9259A"/>
    <w:rsid w:val="00EC459A"/>
    <w:rsid w:val="00ED53FE"/>
    <w:rsid w:val="00ED5B7D"/>
    <w:rsid w:val="00F06879"/>
    <w:rsid w:val="00F40BB5"/>
    <w:rsid w:val="00F417EE"/>
    <w:rsid w:val="00FC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3672"/>
    <w:pPr>
      <w:spacing w:before="240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3672"/>
    <w:pPr>
      <w:keepNext/>
      <w:spacing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672"/>
    <w:pPr>
      <w:keepNext/>
      <w:spacing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293672"/>
    <w:rPr>
      <w:rFonts w:ascii="Arial" w:eastAsia="Times New Roman" w:hAnsi="Arial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semiHidden/>
    <w:rsid w:val="00293672"/>
    <w:rPr>
      <w:rFonts w:ascii="Arial" w:eastAsia="Times New Roman" w:hAnsi="Arial" w:cs="Times New Roman"/>
      <w:b/>
      <w:bCs/>
      <w:i/>
      <w:iCs/>
      <w:sz w:val="28"/>
      <w:szCs w:val="28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93672"/>
    <w:pPr>
      <w:spacing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293672"/>
    <w:rPr>
      <w:rFonts w:ascii="Arial" w:eastAsia="Times New Roman" w:hAnsi="Arial" w:cs="Times New Roman"/>
      <w:b/>
      <w:bCs/>
      <w:kern w:val="28"/>
      <w:sz w:val="32"/>
      <w:szCs w:val="3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716588"/>
    <w:pPr>
      <w:tabs>
        <w:tab w:val="center" w:pos="4536"/>
        <w:tab w:val="right" w:pos="9072"/>
      </w:tabs>
      <w:spacing w:before="0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link w:val="Fuzeile"/>
    <w:uiPriority w:val="99"/>
    <w:rsid w:val="00716588"/>
    <w:rPr>
      <w:rFonts w:ascii="Arial" w:eastAsia="Times New Roman" w:hAnsi="Arial"/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8D468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8D468F"/>
    <w:rPr>
      <w:rFonts w:ascii="Arial" w:hAnsi="Arial"/>
      <w:sz w:val="22"/>
      <w:szCs w:val="22"/>
      <w:lang w:eastAsia="en-US"/>
    </w:rPr>
  </w:style>
  <w:style w:type="table" w:customStyle="1" w:styleId="Tabellenraster">
    <w:name w:val="Tabellenraster"/>
    <w:basedOn w:val="NormaleTabelle"/>
    <w:uiPriority w:val="59"/>
    <w:rsid w:val="00F41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0124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30124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Standard"/>
    <w:unhideWhenUsed/>
    <w:rsid w:val="00036523"/>
    <w:pPr>
      <w:spacing w:before="100" w:beforeAutospacing="1" w:after="100" w:afterAutospacing="1"/>
    </w:pPr>
    <w:rPr>
      <w:rFonts w:eastAsia="Times New Roman" w:cs="Arial"/>
      <w:sz w:val="24"/>
      <w:szCs w:val="24"/>
      <w:lang w:eastAsia="de-DE"/>
    </w:rPr>
  </w:style>
  <w:style w:type="character" w:styleId="Fett">
    <w:name w:val="Strong"/>
    <w:uiPriority w:val="22"/>
    <w:qFormat/>
    <w:rsid w:val="00036523"/>
    <w:rPr>
      <w:b/>
      <w:bCs/>
    </w:rPr>
  </w:style>
  <w:style w:type="paragraph" w:styleId="Listenabsatz">
    <w:name w:val="List Paragraph"/>
    <w:basedOn w:val="Standard"/>
    <w:uiPriority w:val="34"/>
    <w:qFormat/>
    <w:rsid w:val="007879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45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985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Bundesärztekammer</Company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</dc:creator>
  <cp:keywords/>
  <dc:description/>
  <cp:lastModifiedBy>Wenning</cp:lastModifiedBy>
  <cp:revision>5</cp:revision>
  <cp:lastPrinted>2015-01-23T15:03:00Z</cp:lastPrinted>
  <dcterms:created xsi:type="dcterms:W3CDTF">2015-04-24T11:28:00Z</dcterms:created>
  <dcterms:modified xsi:type="dcterms:W3CDTF">2015-04-26T20:16:00Z</dcterms:modified>
</cp:coreProperties>
</file>