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Inter-rater Reliability Open Response Scoring</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Inter-rater reliability (IRR) was established by comparing AI scores against a "human truth" gold standard. Two expert coders manually graded a subset of 40 responses per lesson (20 </w:t>
      </w:r>
      <w:r w:rsidDel="00000000" w:rsidR="00000000" w:rsidRPr="00000000">
        <w:rPr>
          <w:rFonts w:ascii="Times New Roman" w:cs="Times New Roman" w:eastAsia="Times New Roman" w:hAnsi="Times New Roman"/>
          <w:i w:val="1"/>
          <w:iCs w:val="1"/>
          <w:rtl w:val="0"/>
        </w:rPr>
        <w:t xml:space="preserve">predict</w:t>
      </w:r>
      <w:r w:rsidDel="00000000" w:rsidR="00000000" w:rsidRPr="00000000">
        <w:rPr>
          <w:rFonts w:ascii="Times New Roman" w:cs="Times New Roman" w:eastAsia="Times New Roman" w:hAnsi="Times New Roman"/>
          <w:rtl w:val="0"/>
        </w:rPr>
        <w:t xml:space="preserve"> and 20 </w:t>
      </w:r>
      <w:r w:rsidDel="00000000" w:rsidR="00000000" w:rsidRPr="00000000">
        <w:rPr>
          <w:rFonts w:ascii="Times New Roman" w:cs="Times New Roman" w:eastAsia="Times New Roman" w:hAnsi="Times New Roman"/>
          <w:i w:val="1"/>
          <w:iCs w:val="1"/>
          <w:rtl w:val="0"/>
        </w:rPr>
        <w:t xml:space="preserve">explain</w:t>
      </w:r>
      <w:r w:rsidDel="00000000" w:rsidR="00000000" w:rsidRPr="00000000">
        <w:rPr>
          <w:rFonts w:ascii="Times New Roman" w:cs="Times New Roman" w:eastAsia="Times New Roman" w:hAnsi="Times New Roman"/>
          <w:rtl w:val="0"/>
        </w:rPr>
        <w:t xml:space="preserve">), reconciling disagreements to establish the ground truth. Cohen’s Kappa was then calculated to measure the agreement between the AI and truth. Reliability results were heterogeneous, with Kappa values ranging from 0.31 to 1.0 across different tutor moves and question types. </w:t>
      </w:r>
    </w:p>
    <w:p w:rsidR="00000000" w:rsidDel="00000000" w:rsidP="00000000" w:rsidRDefault="00000000" w:rsidRPr="00000000" w14:paraId="0000000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ind w:left="56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A. Inter-rater Reliability for Open Response Scoring (Cohen’s Kappa)</w:t>
      </w:r>
    </w:p>
    <w:tbl>
      <w:tblPr>
        <w:tblStyle w:val="Table1"/>
        <w:tblW w:w="76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425"/>
        <w:gridCol w:w="1425"/>
        <w:gridCol w:w="1410"/>
        <w:gridCol w:w="1410"/>
        <w:tblGridChange w:id="0">
          <w:tblGrid>
            <w:gridCol w:w="1995"/>
            <w:gridCol w:w="1425"/>
            <w:gridCol w:w="1425"/>
            <w:gridCol w:w="1410"/>
            <w:gridCol w:w="1410"/>
          </w:tblGrid>
        </w:tblGridChange>
      </w:tblGrid>
      <w:tr>
        <w:trPr>
          <w:cantSplit w:val="0"/>
          <w:trHeight w:val="300" w:hRule="atLeast"/>
          <w:tblHeader w:val="0"/>
        </w:trPr>
        <w:tc>
          <w:tcPr>
            <w:vMerge w:val="restart"/>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Lesson</w:t>
            </w:r>
          </w:p>
        </w:tc>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Human-to-human IRR (κ)</w:t>
            </w:r>
          </w:p>
        </w:tc>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Human-to-LLM IRR (κ)</w:t>
            </w:r>
          </w:p>
        </w:tc>
      </w:tr>
      <w:tr>
        <w:trPr>
          <w:cantSplit w:val="0"/>
          <w:trHeight w:val="191.982421875" w:hRule="atLeast"/>
          <w:tblHeader w:val="0"/>
        </w:trPr>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Explain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Explain </w:t>
            </w:r>
          </w:p>
        </w:tc>
      </w:tr>
      <w:tr>
        <w:trPr>
          <w:cantSplit w:val="0"/>
          <w:tblHeader w:val="0"/>
        </w:trPr>
        <w:tc>
          <w:tcPr>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GUIDE_THINKING</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0.78</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0.57</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0.78</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0.31</w:t>
            </w:r>
          </w:p>
        </w:tc>
      </w:tr>
      <w:tr>
        <w:trPr>
          <w:cantSplit w:val="0"/>
          <w:tblHeader w:val="0"/>
        </w:trPr>
        <w:tc>
          <w:tcPr>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AFFIRM_CORRECT</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0.77</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blHeader w:val="0"/>
        </w:trPr>
        <w:tc>
          <w:tcPr>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DETERMINE_KNOW</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0.69</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0.69</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0.74</w:t>
            </w:r>
          </w:p>
        </w:tc>
      </w:tr>
      <w:tr>
        <w:trPr>
          <w:cantSplit w:val="0"/>
          <w:tblHeader w:val="0"/>
        </w:trPr>
        <w:tc>
          <w:tcPr>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GIVE_PRAISE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0.41</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0.76</w:t>
            </w:r>
          </w:p>
        </w:tc>
      </w:tr>
      <w:tr>
        <w:trPr>
          <w:cantSplit w:val="0"/>
          <w:trHeight w:val="304.98046875" w:hRule="atLeast"/>
          <w:tblHeader w:val="0"/>
        </w:trPr>
        <w:tc>
          <w:tcPr>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PROMPT_EXPLAIN</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0.53</w:t>
            </w:r>
          </w:p>
        </w:tc>
      </w:tr>
      <w:tr>
        <w:trPr>
          <w:cantSplit w:val="0"/>
          <w:tblHeader w:val="0"/>
        </w:trPr>
        <w:tc>
          <w:tcPr>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REACT_ERRORS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0.69</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w:t>
            </w:r>
          </w:p>
        </w:tc>
      </w:tr>
    </w:tbl>
    <w:p w:rsidR="00000000" w:rsidDel="00000000" w:rsidP="00000000" w:rsidRDefault="00000000" w:rsidRPr="00000000" w14:paraId="0000002F">
      <w:pPr>
        <w:pStyle w:val="Heading2"/>
        <w:shd w:fill="ffffff" w:val="clear"/>
        <w:spacing w:after="160" w:before="0" w:line="240" w:lineRule="auto"/>
        <w:jc w:val="center"/>
        <w:rPr>
          <w:rFonts w:ascii="Times New Roman" w:cs="Times New Roman" w:eastAsia="Times New Roman" w:hAnsi="Times New Roman"/>
          <w:sz w:val="24"/>
          <w:szCs w:val="24"/>
        </w:rPr>
      </w:pPr>
      <w:bookmarkStart w:colFirst="0" w:colLast="0" w:name="_olr5g5331h1o" w:id="0"/>
      <w:bookmarkEnd w:id="0"/>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Inter-rater Reliability of Transcript Scoring - Evaluation</w:t>
      </w:r>
    </w:p>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To validate the LLM-based assessment method two experienced researchers annotated a subset of 10 tutoring transcriptions across all six tutor moves. IRR between the human raters was calculated, and all disagreements were reconciled to establish a “ground truth” score. The model was then evaluated on these same 10 transcriptions to determine its alignment with expert judgment. Cohen’s Kappa scores for the Gemini-2.5-pro compared against the ground truth across the six lessons ranged from </w:t>
      </w:r>
      <w:r w:rsidDel="00000000" w:rsidR="00000000" w:rsidRPr="00000000">
        <w:rPr>
          <w:rFonts w:ascii="Times New Roman" w:cs="Times New Roman" w:eastAsia="Times New Roman" w:hAnsi="Times New Roman"/>
          <w:rtl w:val="0"/>
        </w:rPr>
        <w:t xml:space="preserve">0.0 (when the transcripts nearly all lacked the given tutor move) to 0.8. However, these scores are rendered less representative of LLM ability due to the fact that the set of transcripts analyzed was so small.</w:t>
      </w: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ind w:left="56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B. Inter-rater Reliability of Transcript Scoring - Evaluation  </w:t>
      </w:r>
    </w:p>
    <w:tbl>
      <w:tblPr>
        <w:tblStyle w:val="Table2"/>
        <w:tblW w:w="7287.93893129771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72.3969465648856"/>
        <w:gridCol w:w="2043.4809160305344"/>
        <w:gridCol w:w="2072.06106870229"/>
        <w:tblGridChange w:id="0">
          <w:tblGrid>
            <w:gridCol w:w="3172.3969465648856"/>
            <w:gridCol w:w="2043.4809160305344"/>
            <w:gridCol w:w="2072.06106870229"/>
          </w:tblGrid>
        </w:tblGridChange>
      </w:tblGrid>
      <w:tr>
        <w:trPr>
          <w:cantSplit w:val="0"/>
          <w:trHeight w:val="300" w:hRule="atLeast"/>
          <w:tblHeader w:val="0"/>
        </w:trPr>
        <w:tc>
          <w:tcPr>
            <w:vMerge w:val="restart"/>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Lesson</w:t>
            </w:r>
          </w:p>
        </w:tc>
        <w:tc>
          <w:tcPr>
            <w:vMerge w:val="restart"/>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Human-to-Human</w:t>
            </w:r>
          </w:p>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IRR (κ)</w:t>
            </w:r>
          </w:p>
        </w:tc>
        <w:tc>
          <w:tcPr>
            <w:vMerge w:val="restart"/>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Human-to-LLM</w:t>
            </w:r>
          </w:p>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IRR (κ) </w:t>
            </w:r>
          </w:p>
        </w:tc>
      </w:tr>
      <w:tr>
        <w:trPr>
          <w:cantSplit w:val="0"/>
          <w:trHeight w:val="254.9414062499999" w:hRule="atLeast"/>
          <w:tblHeader w:val="0"/>
        </w:trPr>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C">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D">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GUIDE_THINKING</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0.38</w:t>
            </w:r>
          </w:p>
        </w:tc>
      </w:tr>
      <w:tr>
        <w:trPr>
          <w:cantSplit w:val="0"/>
          <w:tblHeader w:val="0"/>
        </w:trPr>
        <w:tc>
          <w:tcPr>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AFFIRM_CORRECT</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0.38</w:t>
            </w:r>
          </w:p>
        </w:tc>
      </w:tr>
      <w:tr>
        <w:trPr>
          <w:cantSplit w:val="0"/>
          <w:tblHeader w:val="0"/>
        </w:trPr>
        <w:tc>
          <w:tcPr>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DETERMINE_KNOW</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0.58</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w:t>
            </w:r>
          </w:p>
        </w:tc>
      </w:tr>
      <w:tr>
        <w:trPr>
          <w:cantSplit w:val="0"/>
          <w:tblHeader w:val="0"/>
        </w:trPr>
        <w:tc>
          <w:tcPr>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GIVE_PRAISE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w:t>
            </w:r>
          </w:p>
        </w:tc>
      </w:tr>
      <w:tr>
        <w:trPr>
          <w:cantSplit w:val="0"/>
          <w:tblHeader w:val="0"/>
        </w:trPr>
        <w:tc>
          <w:tcPr>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PROMPT_EXPLAIN</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0.58</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w:t>
            </w:r>
          </w:p>
        </w:tc>
      </w:tr>
      <w:tr>
        <w:trPr>
          <w:cantSplit w:val="0"/>
          <w:tblHeader w:val="0"/>
        </w:trPr>
        <w:tc>
          <w:tcPr>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REACT_ERRORS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w:t>
            </w:r>
          </w:p>
        </w:tc>
      </w:tr>
    </w:tbl>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kappa value despite high agreement due to data imbalance.</w:t>
      </w:r>
    </w:p>
    <w:p w:rsidR="00000000" w:rsidDel="00000000" w:rsidP="00000000" w:rsidRDefault="00000000" w:rsidRPr="00000000" w14:paraId="0000005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Inter-rater Reliability of Transcript Scoring - Opportunity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ind w:left="56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 Inter-rater Reliability of Transcript Scoring - Opportunity </w:t>
      </w:r>
    </w:p>
    <w:tbl>
      <w:tblPr>
        <w:tblStyle w:val="Table3"/>
        <w:tblW w:w="7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2145"/>
        <w:gridCol w:w="2115"/>
        <w:tblGridChange w:id="0">
          <w:tblGrid>
            <w:gridCol w:w="3390"/>
            <w:gridCol w:w="2145"/>
            <w:gridCol w:w="2115"/>
          </w:tblGrid>
        </w:tblGridChange>
      </w:tblGrid>
      <w:tr>
        <w:trPr>
          <w:cantSplit w:val="0"/>
          <w:trHeight w:val="300" w:hRule="atLeast"/>
          <w:tblHeader w:val="0"/>
        </w:trPr>
        <w:tc>
          <w:tcPr>
            <w:vMerge w:val="restart"/>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Lesson</w:t>
            </w:r>
          </w:p>
        </w:tc>
        <w:tc>
          <w:tcPr>
            <w:vMerge w:val="restart"/>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Human-to-Human</w:t>
            </w:r>
          </w:p>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IRR (κ)</w:t>
            </w:r>
          </w:p>
        </w:tc>
        <w:tc>
          <w:tcPr>
            <w:vMerge w:val="restart"/>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Human-to-LLM </w:t>
            </w:r>
          </w:p>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IRR (κ)</w:t>
            </w:r>
          </w:p>
        </w:tc>
      </w:tr>
      <w:tr>
        <w:trPr>
          <w:cantSplit w:val="0"/>
          <w:trHeight w:val="125.947265625" w:hRule="atLeast"/>
          <w:tblHeader w:val="0"/>
        </w:trPr>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GUIDE_THINKING</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0.52</w:t>
            </w:r>
          </w:p>
        </w:tc>
      </w:tr>
      <w:tr>
        <w:trPr>
          <w:cantSplit w:val="0"/>
          <w:tblHeader w:val="0"/>
        </w:trPr>
        <w:tc>
          <w:tcPr>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AFFIRM_CORRECT</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0.74</w:t>
            </w:r>
          </w:p>
        </w:tc>
      </w:tr>
      <w:tr>
        <w:trPr>
          <w:cantSplit w:val="0"/>
          <w:tblHeader w:val="0"/>
        </w:trPr>
        <w:tc>
          <w:tcPr>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DETERMINE_KNOW</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0.52</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0.38</w:t>
            </w:r>
          </w:p>
        </w:tc>
      </w:tr>
      <w:tr>
        <w:trPr>
          <w:cantSplit w:val="0"/>
          <w:tblHeader w:val="0"/>
        </w:trPr>
        <w:tc>
          <w:tcPr>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GIVE_PRAISE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w:t>
            </w:r>
          </w:p>
        </w:tc>
      </w:tr>
      <w:tr>
        <w:trPr>
          <w:cantSplit w:val="0"/>
          <w:tblHeader w:val="0"/>
        </w:trPr>
        <w:tc>
          <w:tcPr>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PROMPT_EXPLAIN</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w:t>
            </w:r>
          </w:p>
        </w:tc>
      </w:tr>
      <w:tr>
        <w:trPr>
          <w:cantSplit w:val="0"/>
          <w:tblHeader w:val="0"/>
        </w:trPr>
        <w:tc>
          <w:tcPr>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REACT_ERRORS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bl>
    <w:p w:rsidR="00000000" w:rsidDel="00000000" w:rsidP="00000000" w:rsidRDefault="00000000" w:rsidRPr="00000000" w14:paraId="00000075">
      <w:pPr>
        <w:pStyle w:val="Heading2"/>
        <w:shd w:fill="ffffff" w:val="clear"/>
        <w:spacing w:after="160" w:before="0" w:line="240" w:lineRule="auto"/>
        <w:rPr>
          <w:rFonts w:ascii="Times New Roman" w:cs="Times New Roman" w:eastAsia="Times New Roman" w:hAnsi="Times New Roman"/>
          <w:b w:val="1"/>
          <w:bCs w:val="1"/>
          <w:sz w:val="24"/>
          <w:szCs w:val="24"/>
        </w:rPr>
      </w:pPr>
      <w:bookmarkStart w:colFirst="0" w:colLast="0" w:name="_blvfr9pzxneh" w:id="1"/>
      <w:bookmarkEnd w:id="1"/>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0"/>
          <w:szCs w:val="20"/>
          <w:rtl w:val="0"/>
        </w:rPr>
        <w:t xml:space="preserve">*Low kappa value despite high agreement due to data imbalance.</w:t>
      </w: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