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323B4">
      <w:pPr>
        <w:spacing w:before="480" w:after="480" w:line="288" w:lineRule="auto"/>
        <w:ind w:left="0"/>
        <w:jc w:val="center"/>
        <w:rPr>
          <w:rFonts w:ascii="Times New Roman" w:hAnsi="Times New Roman" w:eastAsia="宋体"/>
        </w:rPr>
      </w:pPr>
      <w:bookmarkStart w:id="59" w:name="_GoBack"/>
      <w:r>
        <w:rPr>
          <w:rFonts w:ascii="Times New Roman" w:hAnsi="Times New Roman" w:eastAsia="宋体" w:cs="Arial"/>
          <w:b/>
          <w:sz w:val="52"/>
        </w:rPr>
        <w:t>西城区法治风险地图多维分类方案与标准</w:t>
      </w:r>
    </w:p>
    <w:bookmarkEnd w:id="59"/>
    <w:p w14:paraId="0DA899A7">
      <w:pPr>
        <w:spacing w:before="380" w:after="140" w:line="288" w:lineRule="auto"/>
        <w:ind w:left="0"/>
        <w:jc w:val="left"/>
        <w:outlineLvl w:val="0"/>
        <w:rPr>
          <w:rFonts w:ascii="Times New Roman" w:hAnsi="Times New Roman" w:eastAsia="宋体"/>
        </w:rPr>
      </w:pPr>
      <w:bookmarkStart w:id="0" w:name="heading_0"/>
      <w:r>
        <w:rPr>
          <w:rFonts w:ascii="Times New Roman" w:hAnsi="Times New Roman" w:eastAsia="宋体" w:cs="Arial"/>
          <w:b/>
          <w:sz w:val="36"/>
        </w:rPr>
        <w:t>一、具体方案</w:t>
      </w:r>
      <w:bookmarkEnd w:id="0"/>
    </w:p>
    <w:p w14:paraId="494CB965">
      <w:pPr>
        <w:spacing w:before="320" w:after="120" w:line="288" w:lineRule="auto"/>
        <w:ind w:left="0"/>
        <w:jc w:val="left"/>
        <w:outlineLvl w:val="1"/>
        <w:rPr>
          <w:rFonts w:ascii="Times New Roman" w:hAnsi="Times New Roman" w:eastAsia="宋体"/>
        </w:rPr>
      </w:pPr>
      <w:bookmarkStart w:id="1" w:name="heading_1"/>
      <w:r>
        <w:rPr>
          <w:rFonts w:ascii="Times New Roman" w:hAnsi="Times New Roman" w:eastAsia="宋体" w:cs="Arial"/>
          <w:b/>
          <w:sz w:val="32"/>
        </w:rPr>
        <w:t>（一）方案一：按商业商圈维度分类——检察官给我们提的方案</w:t>
      </w:r>
      <w:bookmarkEnd w:id="1"/>
    </w:p>
    <w:p w14:paraId="4E2B5496">
      <w:pPr>
        <w:spacing w:before="300" w:after="120" w:line="288" w:lineRule="auto"/>
        <w:ind w:left="0"/>
        <w:jc w:val="left"/>
        <w:outlineLvl w:val="2"/>
        <w:rPr>
          <w:rFonts w:ascii="Times New Roman" w:hAnsi="Times New Roman" w:eastAsia="宋体"/>
        </w:rPr>
      </w:pPr>
      <w:bookmarkStart w:id="2" w:name="heading_2"/>
      <w:r>
        <w:rPr>
          <w:rFonts w:ascii="Times New Roman" w:hAnsi="Times New Roman" w:eastAsia="宋体" w:cs="Arial"/>
          <w:b/>
          <w:sz w:val="30"/>
        </w:rPr>
        <w:t>1. 方案定位</w:t>
      </w:r>
      <w:bookmarkEnd w:id="2"/>
    </w:p>
    <w:p w14:paraId="1A2D9CF1">
      <w:pPr>
        <w:spacing w:before="120" w:after="120" w:line="288" w:lineRule="auto"/>
        <w:ind w:left="0"/>
        <w:jc w:val="left"/>
        <w:rPr>
          <w:rFonts w:ascii="Times New Roman" w:hAnsi="Times New Roman" w:eastAsia="宋体"/>
        </w:rPr>
      </w:pPr>
      <w:r>
        <w:rPr>
          <w:rFonts w:ascii="Times New Roman" w:hAnsi="Times New Roman" w:eastAsia="宋体" w:cs="Arial"/>
          <w:sz w:val="22"/>
        </w:rPr>
        <w:t>以西城区核心商业商圈为分类单元，聚焦商圈内的法律风险痛点，打造「商圈法律风险预警与治理平台」，服务商圈管委会、市场监管、检察监督，保障商圈营商环境。</w:t>
      </w:r>
    </w:p>
    <w:p w14:paraId="21001B44">
      <w:pPr>
        <w:spacing w:before="300" w:after="120" w:line="288" w:lineRule="auto"/>
        <w:ind w:left="0"/>
        <w:jc w:val="left"/>
        <w:outlineLvl w:val="2"/>
        <w:rPr>
          <w:rFonts w:ascii="Times New Roman" w:hAnsi="Times New Roman" w:eastAsia="宋体"/>
        </w:rPr>
      </w:pPr>
      <w:bookmarkStart w:id="3" w:name="heading_3"/>
      <w:r>
        <w:rPr>
          <w:rFonts w:ascii="Times New Roman" w:hAnsi="Times New Roman" w:eastAsia="宋体" w:cs="Arial"/>
          <w:b/>
          <w:sz w:val="30"/>
        </w:rPr>
        <w:t>2. 核心功能模块</w:t>
      </w:r>
      <w:bookmarkEnd w:id="3"/>
    </w:p>
    <w:p w14:paraId="4413E047">
      <w:pPr>
        <w:spacing w:before="120" w:after="120" w:line="288" w:lineRule="auto"/>
        <w:ind w:left="0"/>
        <w:jc w:val="left"/>
        <w:rPr>
          <w:rFonts w:ascii="Times New Roman" w:hAnsi="Times New Roman" w:eastAsia="宋体"/>
        </w:rPr>
      </w:pPr>
      <w:r>
        <w:rPr>
          <w:rFonts w:ascii="Times New Roman" w:hAnsi="Times New Roman" w:eastAsia="宋体" w:cs="Arial"/>
          <w:sz w:val="22"/>
        </w:rPr>
        <w:t>1. 商圈风险总览卡：每个商圈独立展示年度案件总数、高发案件类型（如消费纠纷、租赁合同纠纷、知识产权纠纷）、检察建议发送次数、普法推送次数。</w:t>
      </w:r>
    </w:p>
    <w:p w14:paraId="12D9B656">
      <w:pPr>
        <w:spacing w:before="120" w:after="120" w:line="288" w:lineRule="auto"/>
        <w:ind w:left="0"/>
        <w:jc w:val="left"/>
        <w:rPr>
          <w:rFonts w:ascii="Times New Roman" w:hAnsi="Times New Roman" w:eastAsia="宋体"/>
        </w:rPr>
      </w:pPr>
      <w:r>
        <w:rPr>
          <w:rFonts w:ascii="Times New Roman" w:hAnsi="Times New Roman" w:eastAsia="宋体" w:cs="Arial"/>
          <w:sz w:val="22"/>
        </w:rPr>
        <w:t>2. 商圈风险热力图：标注商圈内重点风险点位（如网红店铺、美食街、写字楼），展示各点位案件数量与类型。</w:t>
      </w:r>
    </w:p>
    <w:p w14:paraId="42B30DAD">
      <w:pPr>
        <w:spacing w:before="300" w:after="120" w:line="288" w:lineRule="auto"/>
        <w:ind w:left="0"/>
        <w:jc w:val="left"/>
        <w:outlineLvl w:val="2"/>
        <w:rPr>
          <w:rFonts w:ascii="Times New Roman" w:hAnsi="Times New Roman" w:eastAsia="宋体"/>
        </w:rPr>
      </w:pPr>
      <w:bookmarkStart w:id="4" w:name="heading_4"/>
      <w:r>
        <w:rPr>
          <w:rFonts w:ascii="Times New Roman" w:hAnsi="Times New Roman" w:eastAsia="宋体" w:cs="Arial"/>
          <w:b/>
          <w:sz w:val="30"/>
        </w:rPr>
        <w:t>3. 商圈专属治理工具包</w:t>
      </w:r>
      <w:bookmarkEnd w:id="4"/>
    </w:p>
    <w:p w14:paraId="5C62CEE0">
      <w:pPr>
        <w:spacing w:before="120" w:after="120" w:line="288" w:lineRule="auto"/>
        <w:ind w:left="0"/>
        <w:jc w:val="left"/>
        <w:rPr>
          <w:rFonts w:ascii="Times New Roman" w:hAnsi="Times New Roman" w:eastAsia="宋体"/>
        </w:rPr>
      </w:pPr>
      <w:r>
        <w:rPr>
          <w:rFonts w:ascii="Times New Roman" w:hAnsi="Times New Roman" w:eastAsia="宋体" w:cs="Arial"/>
          <w:sz w:val="22"/>
        </w:rPr>
        <w:t>1. 针对商圈高发案件的检察建议（如消费纠纷多的商圈，推送市场监管专项检察建议；租赁合同纠纷多的，推送商圈运营合规建议）</w:t>
      </w:r>
    </w:p>
    <w:p w14:paraId="4B05B590">
      <w:pPr>
        <w:spacing w:before="120" w:after="120" w:line="288" w:lineRule="auto"/>
        <w:ind w:left="0"/>
        <w:jc w:val="left"/>
        <w:rPr>
          <w:rFonts w:ascii="Times New Roman" w:hAnsi="Times New Roman" w:eastAsia="宋体"/>
        </w:rPr>
      </w:pPr>
      <w:r>
        <w:rPr>
          <w:rFonts w:ascii="Times New Roman" w:hAnsi="Times New Roman" w:eastAsia="宋体" w:cs="Arial"/>
          <w:sz w:val="22"/>
        </w:rPr>
        <w:t>2. 定制化普法方案（如《消费者权益保护法》解读、商户合规经营指南、知识产权保护普法）</w:t>
      </w:r>
    </w:p>
    <w:p w14:paraId="4CBEB6AF">
      <w:pPr>
        <w:spacing w:before="120" w:after="120" w:line="288" w:lineRule="auto"/>
        <w:ind w:left="0"/>
        <w:jc w:val="left"/>
        <w:rPr>
          <w:rFonts w:ascii="Times New Roman" w:hAnsi="Times New Roman" w:eastAsia="宋体"/>
        </w:rPr>
      </w:pPr>
      <w:r>
        <w:rPr>
          <w:rFonts w:ascii="Times New Roman" w:hAnsi="Times New Roman" w:eastAsia="宋体" w:cs="Arial"/>
          <w:sz w:val="22"/>
        </w:rPr>
        <w:t>3. 商圈纠纷快速调解通道（对接商圈调解委员会、检察院驻商圈检察服务站）</w:t>
      </w:r>
    </w:p>
    <w:p w14:paraId="4A992B57">
      <w:pPr>
        <w:spacing w:before="300" w:after="120" w:line="288" w:lineRule="auto"/>
        <w:ind w:left="0"/>
        <w:jc w:val="left"/>
        <w:outlineLvl w:val="2"/>
        <w:rPr>
          <w:rFonts w:ascii="Times New Roman" w:hAnsi="Times New Roman" w:eastAsia="宋体"/>
        </w:rPr>
      </w:pPr>
      <w:bookmarkStart w:id="5" w:name="heading_5"/>
      <w:r>
        <w:rPr>
          <w:rFonts w:ascii="Times New Roman" w:hAnsi="Times New Roman" w:eastAsia="宋体" w:cs="Arial"/>
          <w:b/>
          <w:sz w:val="30"/>
        </w:rPr>
        <w:t>4. 数据支撑</w:t>
      </w:r>
      <w:bookmarkEnd w:id="5"/>
    </w:p>
    <w:p w14:paraId="36262A5C">
      <w:pPr>
        <w:spacing w:before="120" w:after="120" w:line="288" w:lineRule="auto"/>
        <w:ind w:left="0"/>
        <w:jc w:val="left"/>
        <w:rPr>
          <w:rFonts w:ascii="Times New Roman" w:hAnsi="Times New Roman" w:eastAsia="宋体"/>
        </w:rPr>
      </w:pPr>
      <w:r>
        <w:rPr>
          <w:rFonts w:ascii="Times New Roman" w:hAnsi="Times New Roman" w:eastAsia="宋体" w:cs="Arial"/>
          <w:sz w:val="22"/>
        </w:rPr>
        <w:t>西城区核心商圈（西单、金融街、大栅栏 - 前门、什刹海、西直门凯德 MALL 等）的消费 / 合同 / 知识产权纠纷数据、商圈管委会 / 市场监管所执法数据、检察建议台账、商户合规数据。</w:t>
      </w:r>
    </w:p>
    <w:p w14:paraId="35046275">
      <w:pPr>
        <w:spacing w:before="300" w:after="120" w:line="288" w:lineRule="auto"/>
        <w:ind w:left="0"/>
        <w:jc w:val="left"/>
        <w:outlineLvl w:val="2"/>
        <w:rPr>
          <w:rFonts w:ascii="Times New Roman" w:hAnsi="Times New Roman" w:eastAsia="宋体"/>
        </w:rPr>
      </w:pPr>
      <w:bookmarkStart w:id="6" w:name="heading_6"/>
      <w:r>
        <w:rPr>
          <w:rFonts w:ascii="Times New Roman" w:hAnsi="Times New Roman" w:eastAsia="宋体" w:cs="Arial"/>
          <w:b/>
          <w:sz w:val="30"/>
        </w:rPr>
        <w:t>5. 典型西城区应用场景</w:t>
      </w:r>
      <w:bookmarkEnd w:id="6"/>
    </w:p>
    <w:p w14:paraId="4F1DC02B">
      <w:pPr>
        <w:spacing w:before="120" w:after="120" w:line="288" w:lineRule="auto"/>
        <w:ind w:left="0"/>
        <w:jc w:val="left"/>
        <w:rPr>
          <w:rFonts w:ascii="Times New Roman" w:hAnsi="Times New Roman" w:eastAsia="宋体"/>
        </w:rPr>
      </w:pPr>
      <w:r>
        <w:rPr>
          <w:rFonts w:ascii="Times New Roman" w:hAnsi="Times New Roman" w:eastAsia="宋体" w:cs="Arial"/>
          <w:sz w:val="22"/>
        </w:rPr>
        <w:t> 西单商圈：高发消费纠纷、买卖合同纠纷，推送消费维权普法、市场监管检察建议，开通商圈消费纠纷快速调解通道。</w:t>
      </w:r>
    </w:p>
    <w:p w14:paraId="24ABBA5E">
      <w:pPr>
        <w:spacing w:before="120" w:after="120" w:line="288" w:lineRule="auto"/>
        <w:ind w:left="0"/>
        <w:jc w:val="left"/>
        <w:rPr>
          <w:rFonts w:ascii="Times New Roman" w:hAnsi="Times New Roman" w:eastAsia="宋体"/>
        </w:rPr>
      </w:pPr>
      <w:r>
        <w:rPr>
          <w:rFonts w:ascii="Times New Roman" w:hAnsi="Times New Roman" w:eastAsia="宋体" w:cs="Arial"/>
          <w:sz w:val="22"/>
        </w:rPr>
        <w:t> 金融街商圈：高发金融消费纠纷、写字楼租赁合同纠纷、知识产权纠纷，推送金融消费者保护、企业合规经营普法，制发金融监管类检察建议。</w:t>
      </w:r>
    </w:p>
    <w:p w14:paraId="02021A62">
      <w:pPr>
        <w:spacing w:before="120" w:after="120" w:line="288" w:lineRule="auto"/>
        <w:ind w:left="0"/>
        <w:jc w:val="left"/>
        <w:rPr>
          <w:rFonts w:ascii="Times New Roman" w:hAnsi="Times New Roman" w:eastAsia="宋体"/>
        </w:rPr>
      </w:pPr>
      <w:r>
        <w:rPr>
          <w:rFonts w:ascii="Times New Roman" w:hAnsi="Times New Roman" w:eastAsia="宋体" w:cs="Arial"/>
          <w:sz w:val="22"/>
        </w:rPr>
        <w:t> 大栅栏 - 前门 / 什刹海商圈：高发旅游消费纠纷、餐饮服务纠纷，推送旅游市场监管检察建议、餐饮合规普法。</w:t>
      </w:r>
    </w:p>
    <w:p w14:paraId="176A4528">
      <w:pPr>
        <w:spacing w:before="300" w:after="120" w:line="288" w:lineRule="auto"/>
        <w:ind w:left="0"/>
        <w:jc w:val="left"/>
        <w:outlineLvl w:val="2"/>
        <w:rPr>
          <w:rFonts w:ascii="Times New Roman" w:hAnsi="Times New Roman" w:eastAsia="宋体"/>
        </w:rPr>
      </w:pPr>
      <w:bookmarkStart w:id="7" w:name="heading_7"/>
      <w:r>
        <w:rPr>
          <w:rFonts w:ascii="Times New Roman" w:hAnsi="Times New Roman" w:eastAsia="宋体" w:cs="Arial"/>
          <w:b/>
          <w:sz w:val="30"/>
        </w:rPr>
        <w:t>6. 价值亮点</w:t>
      </w:r>
      <w:bookmarkEnd w:id="7"/>
    </w:p>
    <w:p w14:paraId="2D9611D5">
      <w:pPr>
        <w:spacing w:before="120" w:after="120" w:line="288" w:lineRule="auto"/>
        <w:ind w:left="0"/>
        <w:jc w:val="left"/>
        <w:rPr>
          <w:rFonts w:ascii="Times New Roman" w:hAnsi="Times New Roman" w:eastAsia="宋体"/>
        </w:rPr>
      </w:pPr>
      <w:r>
        <w:rPr>
          <w:rFonts w:ascii="Times New Roman" w:hAnsi="Times New Roman" w:eastAsia="宋体" w:cs="Arial"/>
          <w:sz w:val="22"/>
        </w:rPr>
        <w:t> 精准覆盖西城区核心商圈的营商环境治理需求，服务「两区」建设</w:t>
      </w:r>
    </w:p>
    <w:p w14:paraId="3966F55B">
      <w:pPr>
        <w:spacing w:before="120" w:after="120" w:line="288" w:lineRule="auto"/>
        <w:ind w:left="0"/>
        <w:jc w:val="left"/>
        <w:rPr>
          <w:rFonts w:ascii="Times New Roman" w:hAnsi="Times New Roman" w:eastAsia="宋体"/>
        </w:rPr>
      </w:pPr>
      <w:r>
        <w:rPr>
          <w:rFonts w:ascii="Times New Roman" w:hAnsi="Times New Roman" w:eastAsia="宋体" w:cs="Arial"/>
          <w:sz w:val="22"/>
        </w:rPr>
        <w:t> 打通检察监督、市场监管、商圈自治的协同治理链路</w:t>
      </w:r>
    </w:p>
    <w:p w14:paraId="36AE3B56">
      <w:pPr>
        <w:spacing w:before="120" w:after="120" w:line="288" w:lineRule="auto"/>
        <w:ind w:left="0"/>
        <w:jc w:val="left"/>
        <w:rPr>
          <w:rFonts w:ascii="Times New Roman" w:hAnsi="Times New Roman" w:eastAsia="宋体"/>
        </w:rPr>
      </w:pPr>
      <w:r>
        <w:rPr>
          <w:rFonts w:ascii="Times New Roman" w:hAnsi="Times New Roman" w:eastAsia="宋体" w:cs="Arial"/>
          <w:sz w:val="22"/>
        </w:rPr>
        <w:t> 为商圈招商、运营提供合规风险预警，提升商圈竞争</w:t>
      </w:r>
    </w:p>
    <w:p w14:paraId="0FB3E8B1">
      <w:pPr>
        <w:spacing w:before="300" w:after="120" w:line="288" w:lineRule="auto"/>
        <w:ind w:left="0"/>
        <w:jc w:val="left"/>
        <w:outlineLvl w:val="2"/>
        <w:rPr>
          <w:rFonts w:ascii="Times New Roman" w:hAnsi="Times New Roman" w:eastAsia="宋体"/>
        </w:rPr>
      </w:pPr>
      <w:bookmarkStart w:id="8" w:name="heading_8"/>
      <w:r>
        <w:rPr>
          <w:rFonts w:ascii="Times New Roman" w:hAnsi="Times New Roman" w:eastAsia="宋体" w:cs="Arial"/>
          <w:b/>
          <w:sz w:val="30"/>
        </w:rPr>
        <w:t>7. 可参考文献</w:t>
      </w:r>
      <w:bookmarkEnd w:id="8"/>
    </w:p>
    <w:p w14:paraId="53A0DA4D">
      <w:pPr>
        <w:spacing w:before="120" w:after="120" w:line="288" w:lineRule="auto"/>
        <w:ind w:left="0"/>
        <w:jc w:val="left"/>
        <w:rPr>
          <w:rFonts w:ascii="Times New Roman" w:hAnsi="Times New Roman" w:eastAsia="宋体"/>
        </w:rPr>
      </w:pPr>
      <w:r>
        <w:rPr>
          <w:rFonts w:ascii="Times New Roman" w:hAnsi="Times New Roman" w:eastAsia="宋体" w:cs="Arial"/>
          <w:sz w:val="22"/>
        </w:rPr>
        <w:t>8.Ratcliffe, J. H. "Intelligence-Led Policing."——阐述情报主导的警务（检察建议参考）如何通过地理分类提升效率。</w:t>
      </w:r>
    </w:p>
    <w:p w14:paraId="5FBD2BBC">
      <w:pPr>
        <w:spacing w:before="120" w:after="120" w:line="288" w:lineRule="auto"/>
        <w:ind w:left="0"/>
        <w:jc w:val="left"/>
        <w:rPr>
          <w:rFonts w:ascii="Times New Roman" w:hAnsi="Times New Roman" w:eastAsia="宋体"/>
        </w:rPr>
      </w:pPr>
      <w:r>
        <w:rPr>
          <w:rFonts w:ascii="Times New Roman" w:hAnsi="Times New Roman" w:eastAsia="宋体" w:cs="Arial"/>
          <w:sz w:val="22"/>
        </w:rPr>
        <w:t>9.Brantingham, P. J., &amp; Brantingham, P. L. "Environmental Criminology."——从环境犯罪学角度解释商业综合体与居住区在法治风险上的本质差异。</w:t>
      </w:r>
    </w:p>
    <w:p w14:paraId="33E103C1">
      <w:pPr>
        <w:spacing w:before="120" w:after="120" w:line="288" w:lineRule="auto"/>
        <w:ind w:left="0"/>
        <w:jc w:val="left"/>
        <w:rPr>
          <w:rFonts w:ascii="Times New Roman" w:hAnsi="Times New Roman" w:eastAsia="宋体"/>
        </w:rPr>
      </w:pPr>
      <w:r>
        <w:rPr>
          <w:rFonts w:ascii="Times New Roman" w:hAnsi="Times New Roman" w:eastAsia="宋体" w:cs="Arial"/>
          <w:sz w:val="22"/>
        </w:rPr>
        <w:t>12. Kelling, G. L., &amp; Wilson, J. Q. "Broken Windows: The Police and Neighborhood Safety."——经典的破窗理论，论证了为什么物理环境（如商业区秩序）的细微恶化会导致法治风险激增。</w:t>
      </w:r>
    </w:p>
    <w:p w14:paraId="1F7066DE">
      <w:pPr>
        <w:spacing w:before="120" w:after="120" w:line="288" w:lineRule="auto"/>
        <w:ind w:left="0"/>
        <w:jc w:val="left"/>
        <w:rPr>
          <w:rFonts w:ascii="Times New Roman" w:hAnsi="Times New Roman" w:eastAsia="宋体"/>
        </w:rPr>
      </w:pPr>
      <w:r>
        <w:rPr>
          <w:rFonts w:ascii="Times New Roman" w:hAnsi="Times New Roman" w:eastAsia="宋体" w:cs="Arial"/>
          <w:sz w:val="22"/>
        </w:rPr>
        <w:t> 精准覆盖西城区核心商圈的营商环境治理需求，服务「两区」建设</w:t>
      </w:r>
    </w:p>
    <w:p w14:paraId="46FD409F">
      <w:pPr>
        <w:spacing w:before="120" w:after="120" w:line="288" w:lineRule="auto"/>
        <w:ind w:left="0"/>
        <w:jc w:val="left"/>
        <w:rPr>
          <w:rFonts w:ascii="Times New Roman" w:hAnsi="Times New Roman" w:eastAsia="宋体"/>
        </w:rPr>
      </w:pPr>
      <w:r>
        <w:rPr>
          <w:rFonts w:ascii="Times New Roman" w:hAnsi="Times New Roman" w:eastAsia="宋体" w:cs="Arial"/>
          <w:sz w:val="22"/>
        </w:rPr>
        <w:t> 打通检察监督、市场监管、商圈自治的协同治理链路</w:t>
      </w:r>
    </w:p>
    <w:p w14:paraId="6B046447">
      <w:pPr>
        <w:spacing w:before="120" w:after="120" w:line="288" w:lineRule="auto"/>
        <w:ind w:left="0"/>
        <w:jc w:val="left"/>
        <w:rPr>
          <w:rFonts w:ascii="Times New Roman" w:hAnsi="Times New Roman" w:eastAsia="宋体"/>
        </w:rPr>
      </w:pPr>
      <w:r>
        <w:rPr>
          <w:rFonts w:ascii="Times New Roman" w:hAnsi="Times New Roman" w:eastAsia="宋体" w:cs="Arial"/>
          <w:sz w:val="22"/>
        </w:rPr>
        <w:t> 为商圈招商、运营提供合规风险预警，提升商圈竞争</w:t>
      </w:r>
    </w:p>
    <w:p w14:paraId="7E87B7C7">
      <w:pPr>
        <w:spacing w:before="320" w:after="120" w:line="288" w:lineRule="auto"/>
        <w:ind w:left="0"/>
        <w:jc w:val="left"/>
        <w:outlineLvl w:val="1"/>
        <w:rPr>
          <w:rFonts w:ascii="Times New Roman" w:hAnsi="Times New Roman" w:eastAsia="宋体"/>
        </w:rPr>
      </w:pPr>
      <w:bookmarkStart w:id="9" w:name="heading_9"/>
      <w:r>
        <w:rPr>
          <w:rFonts w:ascii="Times New Roman" w:hAnsi="Times New Roman" w:eastAsia="宋体" w:cs="Arial"/>
          <w:b/>
          <w:sz w:val="32"/>
        </w:rPr>
        <w:t>（二）方案二：按历史文化街区/文保区地缘分类</w:t>
      </w:r>
      <w:bookmarkEnd w:id="9"/>
    </w:p>
    <w:p w14:paraId="7FC1B891">
      <w:pPr>
        <w:spacing w:before="300" w:after="120" w:line="288" w:lineRule="auto"/>
        <w:ind w:left="0"/>
        <w:jc w:val="left"/>
        <w:outlineLvl w:val="2"/>
        <w:rPr>
          <w:rFonts w:ascii="Times New Roman" w:hAnsi="Times New Roman" w:eastAsia="宋体"/>
        </w:rPr>
      </w:pPr>
      <w:bookmarkStart w:id="10" w:name="heading_10"/>
      <w:r>
        <w:rPr>
          <w:rFonts w:ascii="Times New Roman" w:hAnsi="Times New Roman" w:eastAsia="宋体" w:cs="Arial"/>
          <w:b/>
          <w:sz w:val="30"/>
        </w:rPr>
        <w:t>1. 方案定位</w:t>
      </w:r>
      <w:bookmarkEnd w:id="10"/>
    </w:p>
    <w:p w14:paraId="57F09D17">
      <w:pPr>
        <w:spacing w:before="120" w:after="120" w:line="288" w:lineRule="auto"/>
        <w:ind w:left="0"/>
        <w:jc w:val="left"/>
        <w:rPr>
          <w:rFonts w:ascii="Times New Roman" w:hAnsi="Times New Roman" w:eastAsia="宋体"/>
        </w:rPr>
      </w:pPr>
      <w:r>
        <w:rPr>
          <w:rFonts w:ascii="Times New Roman" w:hAnsi="Times New Roman" w:eastAsia="宋体" w:cs="Arial"/>
          <w:sz w:val="22"/>
        </w:rPr>
        <w:t>以西城区国家级、市级历史文化街区及文保单位地理边界为核心分类单元，立足“文化传承+旅游服务+居民居住”三重属性，打造适配小程序地图可视化的文保区地缘治理平台。通过图层叠加、区域着色等方式呈现法律风险，联动多部门破解治理痛点，兼顾文化保护与民生、旅游规范，贴合西城文保资源密集的特点。</w:t>
      </w:r>
    </w:p>
    <w:p w14:paraId="1D2879FF">
      <w:pPr>
        <w:spacing w:before="300" w:after="120" w:line="288" w:lineRule="auto"/>
        <w:ind w:left="0"/>
        <w:jc w:val="left"/>
        <w:outlineLvl w:val="2"/>
        <w:rPr>
          <w:rFonts w:ascii="Times New Roman" w:hAnsi="Times New Roman" w:eastAsia="宋体"/>
        </w:rPr>
      </w:pPr>
      <w:bookmarkStart w:id="11" w:name="heading_11"/>
      <w:r>
        <w:rPr>
          <w:rFonts w:ascii="Times New Roman" w:hAnsi="Times New Roman" w:eastAsia="宋体" w:cs="Arial"/>
          <w:b/>
          <w:sz w:val="30"/>
        </w:rPr>
        <w:t>2. 核心功能模块（适配小程序地图）</w:t>
      </w:r>
      <w:bookmarkEnd w:id="11"/>
    </w:p>
    <w:p w14:paraId="411C585C">
      <w:pPr>
        <w:spacing w:before="260" w:after="120" w:line="288" w:lineRule="auto"/>
        <w:ind w:left="0"/>
        <w:jc w:val="left"/>
        <w:outlineLvl w:val="3"/>
        <w:rPr>
          <w:rFonts w:ascii="Times New Roman" w:hAnsi="Times New Roman" w:eastAsia="宋体"/>
        </w:rPr>
      </w:pPr>
      <w:bookmarkStart w:id="12" w:name="heading_12"/>
      <w:r>
        <w:rPr>
          <w:rFonts w:ascii="Times New Roman" w:hAnsi="Times New Roman" w:eastAsia="宋体" w:cs="Arial"/>
          <w:b/>
          <w:sz w:val="28"/>
        </w:rPr>
        <w:t>（1）地图可视化功能</w:t>
      </w:r>
      <w:bookmarkEnd w:id="12"/>
    </w:p>
    <w:p w14:paraId="0EEF9F69">
      <w:pPr>
        <w:spacing w:before="120" w:after="120" w:line="288" w:lineRule="auto"/>
        <w:ind w:left="0"/>
        <w:jc w:val="left"/>
        <w:rPr>
          <w:rFonts w:ascii="Times New Roman" w:hAnsi="Times New Roman" w:eastAsia="宋体"/>
        </w:rPr>
      </w:pPr>
      <w:r>
        <w:rPr>
          <w:rFonts w:ascii="Times New Roman" w:hAnsi="Times New Roman" w:eastAsia="宋体" w:cs="Arial"/>
          <w:sz w:val="22"/>
        </w:rPr>
        <w:t>地图默认叠加文保区专属图层，按文保等级用不同色块区分边界，标注文保单位、旅游点位等核心节点；支持缩放、圈选及热力图切换，点击色块弹出风险信息卡，可联动街道、商圈等其他图层实现协同治理。</w:t>
      </w:r>
    </w:p>
    <w:p w14:paraId="4A740DD4">
      <w:pPr>
        <w:spacing w:before="260" w:after="120" w:line="288" w:lineRule="auto"/>
        <w:ind w:left="0"/>
        <w:jc w:val="left"/>
        <w:outlineLvl w:val="3"/>
        <w:rPr>
          <w:rFonts w:ascii="Times New Roman" w:hAnsi="Times New Roman" w:eastAsia="宋体"/>
        </w:rPr>
      </w:pPr>
      <w:bookmarkStart w:id="13" w:name="heading_13"/>
      <w:r>
        <w:rPr>
          <w:rFonts w:ascii="Times New Roman" w:hAnsi="Times New Roman" w:eastAsia="宋体" w:cs="Arial"/>
          <w:b/>
          <w:sz w:val="28"/>
        </w:rPr>
        <w:t>（2）核心治理功能</w:t>
      </w:r>
      <w:bookmarkEnd w:id="13"/>
    </w:p>
    <w:p w14:paraId="241256BA">
      <w:pPr>
        <w:spacing w:before="120" w:after="120" w:line="288" w:lineRule="auto"/>
        <w:ind w:left="0"/>
        <w:jc w:val="left"/>
        <w:rPr>
          <w:rFonts w:ascii="Times New Roman" w:hAnsi="Times New Roman" w:eastAsia="宋体"/>
        </w:rPr>
      </w:pPr>
      <w:r>
        <w:rPr>
          <w:rFonts w:ascii="Times New Roman" w:hAnsi="Times New Roman" w:eastAsia="宋体" w:cs="Arial"/>
          <w:sz w:val="22"/>
        </w:rPr>
        <w:t>1. 风险总览：每个文保区信息卡包含案件总数、高发类型等核心数据，生成专属风险画像，标注高发时段与点位。</w:t>
      </w:r>
    </w:p>
    <w:p w14:paraId="1031EE75">
      <w:pPr>
        <w:spacing w:before="120" w:after="120" w:line="288" w:lineRule="auto"/>
        <w:ind w:left="0"/>
        <w:jc w:val="left"/>
        <w:rPr>
          <w:rFonts w:ascii="Times New Roman" w:hAnsi="Times New Roman" w:eastAsia="宋体"/>
        </w:rPr>
      </w:pPr>
      <w:r>
        <w:rPr>
          <w:rFonts w:ascii="Times New Roman" w:hAnsi="Times New Roman" w:eastAsia="宋体" w:cs="Arial"/>
          <w:sz w:val="22"/>
        </w:rPr>
        <w:t>2. 治理工具包：定制文保保护、旅游治理、民生治理三类检察建议，按游客、商户等不同受众推送普法内容，标注调解点并支持在线预约。</w:t>
      </w:r>
    </w:p>
    <w:p w14:paraId="1A8EC3E6">
      <w:pPr>
        <w:spacing w:before="120" w:after="120" w:line="288" w:lineRule="auto"/>
        <w:ind w:left="0"/>
        <w:jc w:val="left"/>
        <w:rPr>
          <w:rFonts w:ascii="Times New Roman" w:hAnsi="Times New Roman" w:eastAsia="宋体"/>
        </w:rPr>
      </w:pPr>
      <w:r>
        <w:rPr>
          <w:rFonts w:ascii="Times New Roman" w:hAnsi="Times New Roman" w:eastAsia="宋体" w:cs="Arial"/>
          <w:sz w:val="22"/>
        </w:rPr>
        <w:t>3. 动态监测：实时更新案件及整改数据，生成月度报告，对高风险点位自动推送预警。</w:t>
      </w:r>
    </w:p>
    <w:p w14:paraId="6ABA29E4">
      <w:pPr>
        <w:spacing w:before="300" w:after="120" w:line="288" w:lineRule="auto"/>
        <w:ind w:left="0"/>
        <w:jc w:val="left"/>
        <w:outlineLvl w:val="2"/>
        <w:rPr>
          <w:rFonts w:ascii="Times New Roman" w:hAnsi="Times New Roman" w:eastAsia="宋体"/>
        </w:rPr>
      </w:pPr>
      <w:bookmarkStart w:id="14" w:name="heading_14"/>
      <w:r>
        <w:rPr>
          <w:rFonts w:ascii="Times New Roman" w:hAnsi="Times New Roman" w:eastAsia="宋体" w:cs="Arial"/>
          <w:b/>
          <w:sz w:val="30"/>
        </w:rPr>
        <w:t>3. 数据支撑</w:t>
      </w:r>
      <w:bookmarkEnd w:id="14"/>
    </w:p>
    <w:p w14:paraId="4BBFCCF0">
      <w:pPr>
        <w:spacing w:before="120" w:after="120" w:line="288" w:lineRule="auto"/>
        <w:ind w:left="0"/>
        <w:jc w:val="left"/>
        <w:rPr>
          <w:rFonts w:ascii="Times New Roman" w:hAnsi="Times New Roman" w:eastAsia="宋体"/>
        </w:rPr>
      </w:pPr>
      <w:r>
        <w:rPr>
          <w:rFonts w:ascii="Times New Roman" w:hAnsi="Times New Roman" w:eastAsia="宋体" w:cs="Arial"/>
          <w:sz w:val="22"/>
        </w:rPr>
        <w:t>对接西城文旅局、文保中心的文保区边界及点位数据；整合法院、检察院等部门近3-5年旅游纠纷、文物破坏等案件台账；同步检察院检察建议、文旅局及司法所普法相关数据，确保内容贴合西城实际，可直接落地使用。</w:t>
      </w:r>
    </w:p>
    <w:p w14:paraId="386C60AE">
      <w:pPr>
        <w:spacing w:before="300" w:after="120" w:line="288" w:lineRule="auto"/>
        <w:ind w:left="0"/>
        <w:jc w:val="left"/>
        <w:outlineLvl w:val="2"/>
        <w:rPr>
          <w:rFonts w:ascii="Times New Roman" w:hAnsi="Times New Roman" w:eastAsia="宋体"/>
        </w:rPr>
      </w:pPr>
      <w:bookmarkStart w:id="15" w:name="heading_15"/>
      <w:r>
        <w:rPr>
          <w:rFonts w:ascii="Times New Roman" w:hAnsi="Times New Roman" w:eastAsia="宋体" w:cs="Arial"/>
          <w:b/>
          <w:sz w:val="30"/>
        </w:rPr>
        <w:t>4. 可参考文献</w:t>
      </w:r>
      <w:bookmarkEnd w:id="15"/>
    </w:p>
    <w:p w14:paraId="00B8CA18">
      <w:pPr>
        <w:spacing w:before="120" w:after="120" w:line="288" w:lineRule="auto"/>
        <w:ind w:left="0"/>
        <w:jc w:val="left"/>
        <w:rPr>
          <w:rFonts w:ascii="Times New Roman" w:hAnsi="Times New Roman" w:eastAsia="宋体"/>
        </w:rPr>
      </w:pPr>
      <w:r>
        <w:rPr>
          <w:rFonts w:ascii="Times New Roman" w:hAnsi="Times New Roman" w:eastAsia="宋体" w:cs="Arial"/>
          <w:sz w:val="22"/>
        </w:rPr>
        <w:t>3.《基于地理信息系统(GIS)的社区犯罪制图与空间分析》——技术层面支撑地图分类的多维度可视化展示。</w:t>
      </w:r>
    </w:p>
    <w:p w14:paraId="5E2305A0">
      <w:pPr>
        <w:spacing w:before="120" w:after="120" w:line="288" w:lineRule="auto"/>
        <w:ind w:left="0"/>
        <w:jc w:val="left"/>
        <w:rPr>
          <w:rFonts w:ascii="Times New Roman" w:hAnsi="Times New Roman" w:eastAsia="宋体"/>
        </w:rPr>
      </w:pPr>
      <w:r>
        <w:rPr>
          <w:rFonts w:ascii="Times New Roman" w:hAnsi="Times New Roman" w:eastAsia="宋体" w:cs="Arial"/>
          <w:sz w:val="22"/>
        </w:rPr>
        <w:t>7.Weisburd, D., et al. "The Criminology of Place: Street Segments and Our Understanding of the Crime Problem."——提出“街区级”治理的重要性，支持比街道更细粒度的地图分类。</w:t>
      </w:r>
    </w:p>
    <w:p w14:paraId="1B1EDAD4">
      <w:pPr>
        <w:spacing w:before="120" w:after="120" w:line="288" w:lineRule="auto"/>
        <w:ind w:left="0"/>
        <w:jc w:val="left"/>
        <w:rPr>
          <w:rFonts w:ascii="Times New Roman" w:hAnsi="Times New Roman" w:eastAsia="宋体"/>
        </w:rPr>
      </w:pPr>
      <w:r>
        <w:rPr>
          <w:rFonts w:ascii="Times New Roman" w:hAnsi="Times New Roman" w:eastAsia="宋体" w:cs="Arial"/>
          <w:sz w:val="22"/>
        </w:rPr>
        <w:t>12. Kelling, G. L., &amp; Wilson, J. Q. "Broken Windows: The Police and Neighborhood Safety."——经典的破窗理论，论证了为什么物理环境（如文保区秩序）的细微恶化会导致法治风险激增。</w:t>
      </w:r>
    </w:p>
    <w:p w14:paraId="00CEF2A3">
      <w:pPr>
        <w:spacing w:before="120" w:after="120" w:line="288" w:lineRule="auto"/>
        <w:ind w:left="0"/>
        <w:jc w:val="left"/>
        <w:rPr>
          <w:rFonts w:ascii="Times New Roman" w:hAnsi="Times New Roman" w:eastAsia="宋体"/>
        </w:rPr>
      </w:pPr>
      <w:r>
        <w:rPr>
          <w:rFonts w:ascii="Times New Roman" w:hAnsi="Times New Roman" w:eastAsia="宋体" w:cs="Arial"/>
          <w:sz w:val="22"/>
        </w:rPr>
        <w:t>对接西城文旅局、文保中心的文保区边界及点位数据；整合法院、检察院等部门近3-5年旅游纠纷、文物破坏等案件台账；同步检察院检察建议、文旅局及司法所普法相关数据，确保内容贴合西城实际，可直接落地使用。</w:t>
      </w:r>
    </w:p>
    <w:p w14:paraId="08430BFA">
      <w:pPr>
        <w:spacing w:before="320" w:after="120" w:line="288" w:lineRule="auto"/>
        <w:ind w:left="0"/>
        <w:jc w:val="left"/>
        <w:outlineLvl w:val="1"/>
        <w:rPr>
          <w:rFonts w:ascii="Times New Roman" w:hAnsi="Times New Roman" w:eastAsia="宋体"/>
        </w:rPr>
      </w:pPr>
      <w:bookmarkStart w:id="16" w:name="heading_16"/>
      <w:r>
        <w:rPr>
          <w:rFonts w:ascii="Times New Roman" w:hAnsi="Times New Roman" w:eastAsia="宋体" w:cs="Arial"/>
          <w:b/>
          <w:sz w:val="32"/>
        </w:rPr>
        <w:t>（三）方案三：15分钟社区生活圈地缘分类</w:t>
      </w:r>
      <w:bookmarkEnd w:id="16"/>
    </w:p>
    <w:p w14:paraId="653B67FE">
      <w:pPr>
        <w:spacing w:before="300" w:after="120" w:line="288" w:lineRule="auto"/>
        <w:ind w:left="0"/>
        <w:jc w:val="left"/>
        <w:outlineLvl w:val="2"/>
        <w:rPr>
          <w:rFonts w:ascii="Times New Roman" w:hAnsi="Times New Roman" w:eastAsia="宋体"/>
        </w:rPr>
      </w:pPr>
      <w:bookmarkStart w:id="17" w:name="heading_17"/>
      <w:r>
        <w:rPr>
          <w:rFonts w:ascii="Times New Roman" w:hAnsi="Times New Roman" w:eastAsia="宋体" w:cs="Arial"/>
          <w:b/>
          <w:sz w:val="30"/>
        </w:rPr>
        <w:t>1. 方案定位</w:t>
      </w:r>
      <w:bookmarkEnd w:id="17"/>
    </w:p>
    <w:p w14:paraId="10B2E4FA">
      <w:pPr>
        <w:spacing w:before="120" w:after="120" w:line="288" w:lineRule="auto"/>
        <w:ind w:left="0"/>
        <w:jc w:val="left"/>
        <w:rPr>
          <w:rFonts w:ascii="Times New Roman" w:hAnsi="Times New Roman" w:eastAsia="宋体"/>
        </w:rPr>
      </w:pPr>
      <w:r>
        <w:rPr>
          <w:rFonts w:ascii="Times New Roman" w:hAnsi="Times New Roman" w:eastAsia="宋体" w:cs="Arial"/>
          <w:sz w:val="22"/>
        </w:rPr>
        <w:t>借鉴上海曹杨新村15分钟社区生活圈电子地图实践经验，以西城区各社区服务中心为核心辐射点，按15分钟步行距离划分地缘治理单元，打造“生活圈+治理”一体化地图平台。核心适配小程序地图可视化，聚焦生活圈内居民高频民生需求，将案件展示、检察建议、普法服务与生活圈空间场景深度绑定，实现“步行可达范围内，治理服务精准触达”，兼顾民生保障与基层治理效率，贴合西城区老旧小区集中、民生需求多元的区域特点。</w:t>
      </w:r>
    </w:p>
    <w:p w14:paraId="3BE97C31">
      <w:pPr>
        <w:spacing w:before="300" w:after="120" w:line="288" w:lineRule="auto"/>
        <w:ind w:left="0"/>
        <w:jc w:val="left"/>
        <w:outlineLvl w:val="2"/>
        <w:rPr>
          <w:rFonts w:ascii="Times New Roman" w:hAnsi="Times New Roman" w:eastAsia="宋体"/>
        </w:rPr>
      </w:pPr>
      <w:bookmarkStart w:id="18" w:name="heading_18"/>
      <w:r>
        <w:rPr>
          <w:rFonts w:ascii="Times New Roman" w:hAnsi="Times New Roman" w:eastAsia="宋体" w:cs="Arial"/>
          <w:b/>
          <w:sz w:val="30"/>
        </w:rPr>
        <w:t>2. 核心功能模块（适配小程序地图）</w:t>
      </w:r>
      <w:bookmarkEnd w:id="18"/>
    </w:p>
    <w:p w14:paraId="42456A54">
      <w:pPr>
        <w:spacing w:before="260" w:after="120" w:line="288" w:lineRule="auto"/>
        <w:ind w:left="0"/>
        <w:jc w:val="left"/>
        <w:outlineLvl w:val="3"/>
        <w:rPr>
          <w:rFonts w:ascii="Times New Roman" w:hAnsi="Times New Roman" w:eastAsia="宋体"/>
        </w:rPr>
      </w:pPr>
      <w:bookmarkStart w:id="19" w:name="heading_19"/>
      <w:r>
        <w:rPr>
          <w:rFonts w:ascii="Times New Roman" w:hAnsi="Times New Roman" w:eastAsia="宋体" w:cs="Arial"/>
          <w:b/>
          <w:sz w:val="28"/>
        </w:rPr>
        <w:t>（1）地图可视化核心功能</w:t>
      </w:r>
      <w:bookmarkEnd w:id="19"/>
    </w:p>
    <w:p w14:paraId="6D2B16C7">
      <w:pPr>
        <w:spacing w:before="120" w:after="120" w:line="288" w:lineRule="auto"/>
        <w:ind w:left="0"/>
        <w:jc w:val="left"/>
        <w:rPr>
          <w:rFonts w:ascii="Times New Roman" w:hAnsi="Times New Roman" w:eastAsia="宋体"/>
        </w:rPr>
      </w:pPr>
      <w:r>
        <w:rPr>
          <w:rFonts w:ascii="Times New Roman" w:hAnsi="Times New Roman" w:eastAsia="宋体" w:cs="Arial"/>
          <w:sz w:val="22"/>
        </w:rPr>
        <w:t>地图默认叠加15分钟生活圈专属图层，以各社区服务中心为核心，用渐变色块标注15分钟步行辐射范围（深色=核心区，浅色=辐射边缘）；标注生活圈内核心公共服务设施（社区医院、养老服务站、学校、菜市场、便利店）及案件高发点位，支持地图缩放、点选、圈层筛选，可与街道、网格等图层联动切换，直观呈现生活圈治理格局。</w:t>
      </w:r>
    </w:p>
    <w:p w14:paraId="33836B1C">
      <w:pPr>
        <w:spacing w:before="260" w:after="120" w:line="288" w:lineRule="auto"/>
        <w:ind w:left="0"/>
        <w:jc w:val="left"/>
        <w:outlineLvl w:val="3"/>
        <w:rPr>
          <w:rFonts w:ascii="Times New Roman" w:hAnsi="Times New Roman" w:eastAsia="宋体"/>
        </w:rPr>
      </w:pPr>
      <w:bookmarkStart w:id="20" w:name="heading_20"/>
      <w:r>
        <w:rPr>
          <w:rFonts w:ascii="Times New Roman" w:hAnsi="Times New Roman" w:eastAsia="宋体" w:cs="Arial"/>
          <w:b/>
          <w:sz w:val="28"/>
        </w:rPr>
        <w:t>（2）核心治理与服务功能</w:t>
      </w:r>
      <w:bookmarkEnd w:id="20"/>
    </w:p>
    <w:p w14:paraId="2E17A266">
      <w:pPr>
        <w:spacing w:before="120" w:after="120" w:line="288" w:lineRule="auto"/>
        <w:ind w:left="0"/>
        <w:jc w:val="left"/>
        <w:rPr>
          <w:rFonts w:ascii="Times New Roman" w:hAnsi="Times New Roman" w:eastAsia="宋体"/>
        </w:rPr>
      </w:pPr>
      <w:r>
        <w:rPr>
          <w:rFonts w:ascii="Times New Roman" w:hAnsi="Times New Roman" w:eastAsia="宋体" w:cs="Arial"/>
          <w:sz w:val="22"/>
        </w:rPr>
        <w:t>1.  生活圈风险总览：点选生活圈圈层，弹出信息卡，包含圈内民生类案件总数、高发类型（养老纠纷、邻里矛盾、便民设施相关纠纷等）、检察建议发送次数及公共服务设施分布；生成生活圈需求画像，标注高频民生需求及风险点位。</w:t>
      </w:r>
    </w:p>
    <w:p w14:paraId="296A9DEB">
      <w:pPr>
        <w:spacing w:before="120" w:after="120" w:line="288" w:lineRule="auto"/>
        <w:ind w:left="0"/>
        <w:jc w:val="left"/>
        <w:rPr>
          <w:rFonts w:ascii="Times New Roman" w:hAnsi="Times New Roman" w:eastAsia="宋体"/>
        </w:rPr>
      </w:pPr>
      <w:r>
        <w:rPr>
          <w:rFonts w:ascii="Times New Roman" w:hAnsi="Times New Roman" w:eastAsia="宋体" w:cs="Arial"/>
          <w:sz w:val="22"/>
        </w:rPr>
        <w:t>2.  定制化治理工具包：推送适配生活圈需求的检察建议（如养老服务集中区推送养老合规建议，老旧小区生活圈推送加梯、物业治理建议）；按居民、社区工作者、设施运营方分类推送普法内容，简洁实用、便于传播。</w:t>
      </w:r>
    </w:p>
    <w:p w14:paraId="56A469D0">
      <w:pPr>
        <w:spacing w:before="120" w:after="120" w:line="288" w:lineRule="auto"/>
        <w:ind w:left="0"/>
        <w:jc w:val="left"/>
        <w:rPr>
          <w:rFonts w:ascii="Times New Roman" w:hAnsi="Times New Roman" w:eastAsia="宋体"/>
        </w:rPr>
      </w:pPr>
      <w:r>
        <w:rPr>
          <w:rFonts w:ascii="Times New Roman" w:hAnsi="Times New Roman" w:eastAsia="宋体" w:cs="Arial"/>
          <w:sz w:val="22"/>
        </w:rPr>
        <w:t>3.  服务与治理联动：地图标注生活圈内调解点、检察服务站，支持在线预约调解；联动公共服务设施，同步设施周边治理需求，实现“服务点位+治理点位”地图一体化。</w:t>
      </w:r>
    </w:p>
    <w:p w14:paraId="104E1A5B">
      <w:pPr>
        <w:spacing w:before="300" w:after="120" w:line="288" w:lineRule="auto"/>
        <w:ind w:left="0"/>
        <w:jc w:val="left"/>
        <w:outlineLvl w:val="2"/>
        <w:rPr>
          <w:rFonts w:ascii="Times New Roman" w:hAnsi="Times New Roman" w:eastAsia="宋体"/>
        </w:rPr>
      </w:pPr>
      <w:bookmarkStart w:id="21" w:name="heading_21"/>
      <w:r>
        <w:rPr>
          <w:rFonts w:ascii="Times New Roman" w:hAnsi="Times New Roman" w:eastAsia="宋体" w:cs="Arial"/>
          <w:b/>
          <w:sz w:val="30"/>
        </w:rPr>
        <w:t>3. 数据支撑与西城适配</w:t>
      </w:r>
      <w:bookmarkEnd w:id="21"/>
    </w:p>
    <w:p w14:paraId="06EF8B16">
      <w:pPr>
        <w:spacing w:before="120" w:after="120" w:line="288" w:lineRule="auto"/>
        <w:ind w:left="0"/>
        <w:jc w:val="left"/>
        <w:rPr>
          <w:rFonts w:ascii="Times New Roman" w:hAnsi="Times New Roman" w:eastAsia="宋体"/>
        </w:rPr>
      </w:pPr>
      <w:r>
        <w:rPr>
          <w:rFonts w:ascii="Times New Roman" w:hAnsi="Times New Roman" w:eastAsia="宋体" w:cs="Arial"/>
          <w:sz w:val="22"/>
        </w:rPr>
        <w:t>数据对接西城区民政局、街道办的社区服务中心坐标、15分钟生活圈规划数据；整合近3-5年生活圈内民生类案件台账、公共服务设施运营数据；同步检察院检察建议、司法所普法相关数据，无需新增大量数据即可落地。西城适配重点：金融街高端社区生活圈（侧重便民服务、物业治理）、什刹海民生生活圈（侧重旅游与居民混居治理）、广安门老旧小区生活圈（侧重加梯、供暖、养老治理），精准匹配不同生活圈的治理需求。</w:t>
      </w:r>
    </w:p>
    <w:p w14:paraId="2F06676C">
      <w:pPr>
        <w:spacing w:before="300" w:after="120" w:line="288" w:lineRule="auto"/>
        <w:ind w:left="0"/>
        <w:jc w:val="left"/>
        <w:outlineLvl w:val="2"/>
        <w:rPr>
          <w:rFonts w:ascii="Times New Roman" w:hAnsi="Times New Roman" w:eastAsia="宋体"/>
        </w:rPr>
      </w:pPr>
      <w:bookmarkStart w:id="22" w:name="heading_22"/>
      <w:r>
        <w:rPr>
          <w:rFonts w:ascii="Times New Roman" w:hAnsi="Times New Roman" w:eastAsia="宋体" w:cs="Arial"/>
          <w:b/>
          <w:sz w:val="30"/>
        </w:rPr>
        <w:t>4. 可参考文献</w:t>
      </w:r>
      <w:bookmarkEnd w:id="22"/>
    </w:p>
    <w:p w14:paraId="59B81FAB">
      <w:pPr>
        <w:spacing w:before="120" w:after="120" w:line="288" w:lineRule="auto"/>
        <w:ind w:left="0"/>
        <w:jc w:val="left"/>
        <w:rPr>
          <w:rFonts w:ascii="Times New Roman" w:hAnsi="Times New Roman" w:eastAsia="宋体"/>
        </w:rPr>
      </w:pPr>
      <w:r>
        <w:rPr>
          <w:rFonts w:ascii="Times New Roman" w:hAnsi="Times New Roman" w:eastAsia="宋体" w:cs="Arial"/>
          <w:sz w:val="22"/>
        </w:rPr>
        <w:t>3.《基于地理信息系统(GIS)的社区犯罪制图与空间分析》——技术层面支撑地图分类的多维度可视化展示。</w:t>
      </w:r>
    </w:p>
    <w:p w14:paraId="2EF9A2E5">
      <w:pPr>
        <w:spacing w:before="120" w:after="120" w:line="288" w:lineRule="auto"/>
        <w:ind w:left="0"/>
        <w:jc w:val="left"/>
        <w:rPr>
          <w:rFonts w:ascii="Times New Roman" w:hAnsi="Times New Roman" w:eastAsia="宋体"/>
        </w:rPr>
      </w:pPr>
      <w:r>
        <w:rPr>
          <w:rFonts w:ascii="Times New Roman" w:hAnsi="Times New Roman" w:eastAsia="宋体" w:cs="Arial"/>
          <w:sz w:val="22"/>
        </w:rPr>
        <w:t>7.Weisburd, D., et al. "The Criminology of Place: Street Segments and Our Understanding of the Crime Problem."——提出“街区级”治理的重要性，支持比街道更细粒度的地图分类。</w:t>
      </w:r>
    </w:p>
    <w:p w14:paraId="03C79F79">
      <w:pPr>
        <w:spacing w:before="120" w:after="120" w:line="288" w:lineRule="auto"/>
        <w:ind w:left="0"/>
        <w:jc w:val="left"/>
        <w:rPr>
          <w:rFonts w:ascii="Times New Roman" w:hAnsi="Times New Roman" w:eastAsia="宋体"/>
        </w:rPr>
      </w:pPr>
      <w:r>
        <w:rPr>
          <w:rFonts w:ascii="Times New Roman" w:hAnsi="Times New Roman" w:eastAsia="宋体" w:cs="Arial"/>
          <w:sz w:val="22"/>
        </w:rPr>
        <w:t>11.Taylor, R. B. "Breaking Away from Broken Windows."——挑战传统的单一地域分类，强调社会生态系统对法治环境的影响，支持从“社会结构”分类。</w:t>
      </w:r>
    </w:p>
    <w:p w14:paraId="6A619D47">
      <w:pPr>
        <w:spacing w:before="120" w:after="120" w:line="288" w:lineRule="auto"/>
        <w:ind w:left="0"/>
        <w:jc w:val="left"/>
        <w:rPr>
          <w:rFonts w:ascii="Times New Roman" w:hAnsi="Times New Roman" w:eastAsia="宋体"/>
        </w:rPr>
      </w:pPr>
      <w:r>
        <w:rPr>
          <w:rFonts w:ascii="Times New Roman" w:hAnsi="Times New Roman" w:eastAsia="宋体" w:cs="Arial"/>
          <w:sz w:val="22"/>
        </w:rPr>
        <w:t>数据对接西城区民政局、街道办的社区服务中心坐标、15分钟生活圈规划数据；整合近3-5年生活圈内民生类案件台账、公共服务设施运营数据；同步检察院检察建议、司法所普法相关数据，无需新增大量数据即可落地。西城适配重点：金融街高端社区生活圈（侧重便民服务、物业治理）、什刹海民生生活圈（侧重旅游与居民混居治理）、广安门老旧小区生活圈（侧重加梯、供暖、养老治理），精准匹配不同生活圈的治理需求。</w:t>
      </w:r>
    </w:p>
    <w:p w14:paraId="31A6174A">
      <w:pPr>
        <w:spacing w:before="320" w:after="120" w:line="288" w:lineRule="auto"/>
        <w:ind w:left="0"/>
        <w:jc w:val="left"/>
        <w:outlineLvl w:val="1"/>
        <w:rPr>
          <w:rFonts w:ascii="Times New Roman" w:hAnsi="Times New Roman" w:eastAsia="宋体"/>
        </w:rPr>
      </w:pPr>
      <w:bookmarkStart w:id="23" w:name="heading_23"/>
      <w:r>
        <w:rPr>
          <w:rFonts w:ascii="Times New Roman" w:hAnsi="Times New Roman" w:eastAsia="宋体" w:cs="Arial"/>
          <w:b/>
          <w:sz w:val="32"/>
        </w:rPr>
        <w:t>（四）方案四：按功能属性维度分类</w:t>
      </w:r>
      <w:bookmarkEnd w:id="23"/>
    </w:p>
    <w:p w14:paraId="4FAE8626">
      <w:pPr>
        <w:spacing w:before="300" w:after="120" w:line="288" w:lineRule="auto"/>
        <w:ind w:left="0"/>
        <w:jc w:val="left"/>
        <w:outlineLvl w:val="2"/>
        <w:rPr>
          <w:rFonts w:ascii="Times New Roman" w:hAnsi="Times New Roman" w:eastAsia="宋体"/>
        </w:rPr>
      </w:pPr>
      <w:bookmarkStart w:id="24" w:name="heading_24"/>
      <w:r>
        <w:rPr>
          <w:rFonts w:ascii="Times New Roman" w:hAnsi="Times New Roman" w:eastAsia="宋体" w:cs="Arial"/>
          <w:b/>
          <w:sz w:val="30"/>
        </w:rPr>
        <w:t>1. 分类定位</w:t>
      </w:r>
      <w:bookmarkEnd w:id="24"/>
    </w:p>
    <w:p w14:paraId="5A82234F">
      <w:pPr>
        <w:spacing w:before="120" w:after="120" w:line="288" w:lineRule="auto"/>
        <w:ind w:left="0"/>
        <w:jc w:val="left"/>
        <w:rPr>
          <w:rFonts w:ascii="Times New Roman" w:hAnsi="Times New Roman" w:eastAsia="宋体"/>
        </w:rPr>
      </w:pPr>
      <w:r>
        <w:rPr>
          <w:rFonts w:ascii="Times New Roman" w:hAnsi="Times New Roman" w:eastAsia="宋体" w:cs="Arial"/>
          <w:sz w:val="22"/>
        </w:rPr>
        <w:t>以区域功能属性为核心分类依据，结合犯罪地理学日常活动理论，匹配检察机关“四大检察”业务逻辑，划分不同功能类型区域，实现法治风险精准治理。</w:t>
      </w:r>
    </w:p>
    <w:p w14:paraId="7B5256B5">
      <w:pPr>
        <w:spacing w:before="300" w:after="120" w:line="288" w:lineRule="auto"/>
        <w:ind w:left="0"/>
        <w:jc w:val="left"/>
        <w:outlineLvl w:val="2"/>
        <w:rPr>
          <w:rFonts w:ascii="Times New Roman" w:hAnsi="Times New Roman" w:eastAsia="宋体"/>
        </w:rPr>
      </w:pPr>
      <w:bookmarkStart w:id="25" w:name="heading_25"/>
      <w:r>
        <w:rPr>
          <w:rFonts w:ascii="Times New Roman" w:hAnsi="Times New Roman" w:eastAsia="宋体" w:cs="Arial"/>
          <w:b/>
          <w:sz w:val="30"/>
        </w:rPr>
        <w:t>2. 分类细项</w:t>
      </w:r>
      <w:bookmarkEnd w:id="25"/>
    </w:p>
    <w:p w14:paraId="241432DB">
      <w:pPr>
        <w:spacing w:before="120" w:after="120" w:line="288" w:lineRule="auto"/>
        <w:ind w:left="0"/>
        <w:jc w:val="left"/>
        <w:rPr>
          <w:rFonts w:ascii="Times New Roman" w:hAnsi="Times New Roman" w:eastAsia="宋体"/>
        </w:rPr>
      </w:pPr>
      <w:r>
        <w:rPr>
          <w:rFonts w:ascii="Times New Roman" w:hAnsi="Times New Roman" w:eastAsia="宋体" w:cs="Arial"/>
          <w:sz w:val="22"/>
        </w:rPr>
        <w:t>1. 商业综合体社区：如西单大悦城等。</w:t>
      </w:r>
    </w:p>
    <w:p w14:paraId="3A6750FB">
      <w:pPr>
        <w:spacing w:before="120" w:after="120" w:line="288" w:lineRule="auto"/>
        <w:ind w:left="0"/>
        <w:jc w:val="left"/>
        <w:rPr>
          <w:rFonts w:ascii="Times New Roman" w:hAnsi="Times New Roman" w:eastAsia="宋体"/>
        </w:rPr>
      </w:pPr>
      <w:r>
        <w:rPr>
          <w:rFonts w:ascii="Times New Roman" w:hAnsi="Times New Roman" w:eastAsia="宋体" w:cs="Arial"/>
          <w:sz w:val="22"/>
        </w:rPr>
        <w:t>2. 楼宇/商务社区：金融街商务办公区。</w:t>
      </w:r>
    </w:p>
    <w:p w14:paraId="71686CB8">
      <w:pPr>
        <w:spacing w:before="120" w:after="120" w:line="288" w:lineRule="auto"/>
        <w:ind w:left="0"/>
        <w:jc w:val="left"/>
        <w:rPr>
          <w:rFonts w:ascii="Times New Roman" w:hAnsi="Times New Roman" w:eastAsia="宋体"/>
        </w:rPr>
      </w:pPr>
      <w:r>
        <w:rPr>
          <w:rFonts w:ascii="Times New Roman" w:hAnsi="Times New Roman" w:eastAsia="宋体" w:cs="Arial"/>
          <w:sz w:val="22"/>
        </w:rPr>
        <w:t>3. 老旧平房区：西城区典型的胡同片区。</w:t>
      </w:r>
    </w:p>
    <w:p w14:paraId="104AF7A9">
      <w:pPr>
        <w:spacing w:before="120" w:after="120" w:line="288" w:lineRule="auto"/>
        <w:ind w:left="0"/>
        <w:jc w:val="left"/>
        <w:rPr>
          <w:rFonts w:ascii="Times New Roman" w:hAnsi="Times New Roman" w:eastAsia="宋体"/>
        </w:rPr>
      </w:pPr>
      <w:r>
        <w:rPr>
          <w:rFonts w:ascii="Times New Roman" w:hAnsi="Times New Roman" w:eastAsia="宋体" w:cs="Arial"/>
          <w:sz w:val="22"/>
        </w:rPr>
        <w:t>4. 科教文卫专属区：医院、学校周边。</w:t>
      </w:r>
    </w:p>
    <w:p w14:paraId="20D39E3E">
      <w:pPr>
        <w:spacing w:before="300" w:after="120" w:line="288" w:lineRule="auto"/>
        <w:ind w:left="0"/>
        <w:jc w:val="left"/>
        <w:outlineLvl w:val="2"/>
        <w:rPr>
          <w:rFonts w:ascii="Times New Roman" w:hAnsi="Times New Roman" w:eastAsia="宋体"/>
        </w:rPr>
      </w:pPr>
      <w:bookmarkStart w:id="26" w:name="heading_26"/>
      <w:r>
        <w:rPr>
          <w:rFonts w:ascii="Times New Roman" w:hAnsi="Times New Roman" w:eastAsia="宋体" w:cs="Arial"/>
          <w:b/>
          <w:sz w:val="30"/>
        </w:rPr>
        <w:t>3. 核心理由</w:t>
      </w:r>
      <w:bookmarkEnd w:id="26"/>
    </w:p>
    <w:p w14:paraId="285FB3EC">
      <w:pPr>
        <w:spacing w:before="120" w:after="120" w:line="288" w:lineRule="auto"/>
        <w:ind w:left="0"/>
        <w:jc w:val="left"/>
        <w:rPr>
          <w:rFonts w:ascii="Times New Roman" w:hAnsi="Times New Roman" w:eastAsia="宋体"/>
        </w:rPr>
      </w:pPr>
      <w:r>
        <w:rPr>
          <w:rFonts w:ascii="Times New Roman" w:hAnsi="Times New Roman" w:eastAsia="宋体" w:cs="Arial"/>
          <w:sz w:val="22"/>
        </w:rPr>
        <w:t>1. 理论：犯罪地理学中的日常活动理论（Routine Activity Theory）认为，特定的物理环境吸引特定的人群，产生特定的犯罪动因。</w:t>
      </w:r>
    </w:p>
    <w:p w14:paraId="79D71901">
      <w:pPr>
        <w:spacing w:before="120" w:after="120" w:line="288" w:lineRule="auto"/>
        <w:ind w:left="0"/>
        <w:jc w:val="left"/>
        <w:rPr>
          <w:rFonts w:ascii="Times New Roman" w:hAnsi="Times New Roman" w:eastAsia="宋体"/>
        </w:rPr>
      </w:pPr>
      <w:r>
        <w:rPr>
          <w:rFonts w:ascii="Times New Roman" w:hAnsi="Times New Roman" w:eastAsia="宋体" w:cs="Arial"/>
          <w:sz w:val="22"/>
        </w:rPr>
        <w:t>2. 实践：商业区高发合同诈骗、消费纠纷；老旧小区多发邻里矛盾与违建纠纷。按功能划分能直接匹配检察机关的“四大检察”业务逻辑。</w:t>
      </w:r>
    </w:p>
    <w:p w14:paraId="162EFAB6">
      <w:pPr>
        <w:spacing w:before="300" w:after="120" w:line="288" w:lineRule="auto"/>
        <w:ind w:left="0"/>
        <w:jc w:val="left"/>
        <w:outlineLvl w:val="2"/>
        <w:rPr>
          <w:rFonts w:ascii="Times New Roman" w:hAnsi="Times New Roman" w:eastAsia="宋体"/>
        </w:rPr>
      </w:pPr>
      <w:bookmarkStart w:id="27" w:name="heading_27"/>
      <w:r>
        <w:rPr>
          <w:rFonts w:ascii="Times New Roman" w:hAnsi="Times New Roman" w:eastAsia="宋体" w:cs="Arial"/>
          <w:b/>
          <w:sz w:val="30"/>
        </w:rPr>
        <w:t>4. 可参考文献</w:t>
      </w:r>
      <w:bookmarkEnd w:id="27"/>
    </w:p>
    <w:p w14:paraId="501EBB6C">
      <w:pPr>
        <w:spacing w:before="120" w:after="120" w:line="288" w:lineRule="auto"/>
        <w:ind w:left="0"/>
        <w:jc w:val="left"/>
        <w:rPr>
          <w:rFonts w:ascii="Times New Roman" w:hAnsi="Times New Roman" w:eastAsia="宋体"/>
        </w:rPr>
      </w:pPr>
      <w:r>
        <w:rPr>
          <w:rFonts w:ascii="Times New Roman" w:hAnsi="Times New Roman" w:eastAsia="宋体" w:cs="Arial"/>
          <w:sz w:val="22"/>
        </w:rPr>
        <w:t>2.《基于功能区划的城市社会治安治理模式研究》——提供从行政区划向“商业区、居住区、工业区”转变的治理经验。</w:t>
      </w:r>
    </w:p>
    <w:p w14:paraId="4DB58F1B">
      <w:pPr>
        <w:spacing w:before="120" w:after="120" w:line="288" w:lineRule="auto"/>
        <w:ind w:left="0"/>
        <w:jc w:val="left"/>
        <w:rPr>
          <w:rFonts w:ascii="Times New Roman" w:hAnsi="Times New Roman" w:eastAsia="宋体"/>
        </w:rPr>
      </w:pPr>
      <w:r>
        <w:rPr>
          <w:rFonts w:ascii="Times New Roman" w:hAnsi="Times New Roman" w:eastAsia="宋体" w:cs="Arial"/>
          <w:sz w:val="22"/>
        </w:rPr>
        <w:t>4.《基于多源大数据融合的城市功能区划分及其法治评价》——利用手机信令、POI（兴趣点）数据进行功能分区，是目前最需要的技术路径参考。</w:t>
      </w:r>
    </w:p>
    <w:p w14:paraId="1C89F5A0">
      <w:pPr>
        <w:spacing w:before="120" w:after="120" w:line="288" w:lineRule="auto"/>
        <w:ind w:left="0"/>
        <w:jc w:val="left"/>
        <w:rPr>
          <w:rFonts w:ascii="Times New Roman" w:hAnsi="Times New Roman" w:eastAsia="宋体"/>
        </w:rPr>
      </w:pPr>
      <w:r>
        <w:rPr>
          <w:rFonts w:ascii="Times New Roman" w:hAnsi="Times New Roman" w:eastAsia="宋体" w:cs="Arial"/>
          <w:sz w:val="22"/>
        </w:rPr>
        <w:t>9.Brantingham, P. J., &amp; Brantingham, P. L. "Environmental Criminology."——从环境犯罪学角度解释商业综合体与居住区在法治风险上的本质差异。</w:t>
      </w:r>
    </w:p>
    <w:p w14:paraId="4DD41284">
      <w:pPr>
        <w:spacing w:before="120" w:after="120" w:line="288" w:lineRule="auto"/>
        <w:ind w:left="0"/>
        <w:jc w:val="left"/>
        <w:rPr>
          <w:rFonts w:ascii="Times New Roman" w:hAnsi="Times New Roman" w:eastAsia="宋体"/>
        </w:rPr>
      </w:pPr>
      <w:r>
        <w:rPr>
          <w:rFonts w:ascii="Times New Roman" w:hAnsi="Times New Roman" w:eastAsia="宋体" w:cs="Arial"/>
          <w:sz w:val="22"/>
        </w:rPr>
        <w:t>12. Kelling, G. L., &amp; Wilson, J. Q. "Broken Windows: The Police and Neighborhood Safety."——经典的破窗理论，论证了为什么物理环境（如商业区秩序）的细微恶化会导致法治风险激增。</w:t>
      </w:r>
    </w:p>
    <w:p w14:paraId="270F80CA">
      <w:pPr>
        <w:spacing w:before="120" w:after="120" w:line="288" w:lineRule="auto"/>
        <w:ind w:left="0"/>
        <w:jc w:val="left"/>
        <w:rPr>
          <w:rFonts w:ascii="Times New Roman" w:hAnsi="Times New Roman" w:eastAsia="宋体"/>
        </w:rPr>
      </w:pPr>
      <w:r>
        <w:rPr>
          <w:rFonts w:ascii="Times New Roman" w:hAnsi="Times New Roman" w:eastAsia="宋体" w:cs="Arial"/>
          <w:sz w:val="22"/>
        </w:rPr>
        <w:t>1. 理论：犯罪地理学中的日常活动理论（Routine Activity Theory）认为，特定的物理环境吸引特定的人群，产生特定的犯罪动因。</w:t>
      </w:r>
    </w:p>
    <w:p w14:paraId="76A5B34E">
      <w:pPr>
        <w:spacing w:before="120" w:after="120" w:line="288" w:lineRule="auto"/>
        <w:ind w:left="0"/>
        <w:jc w:val="left"/>
        <w:rPr>
          <w:rFonts w:ascii="Times New Roman" w:hAnsi="Times New Roman" w:eastAsia="宋体"/>
        </w:rPr>
      </w:pPr>
      <w:r>
        <w:rPr>
          <w:rFonts w:ascii="Times New Roman" w:hAnsi="Times New Roman" w:eastAsia="宋体" w:cs="Arial"/>
          <w:sz w:val="22"/>
        </w:rPr>
        <w:t>2. 实践：商业区高发合同诈骗、消费纠纷；老旧小区多发邻里矛盾与违建纠纷。按功能划分能直接匹配检察机关的“四大检察”业务逻辑。</w:t>
      </w:r>
    </w:p>
    <w:p w14:paraId="7C3A08E2">
      <w:pPr>
        <w:spacing w:before="320" w:after="120" w:line="288" w:lineRule="auto"/>
        <w:ind w:left="0"/>
        <w:jc w:val="left"/>
        <w:outlineLvl w:val="1"/>
        <w:rPr>
          <w:rFonts w:ascii="Times New Roman" w:hAnsi="Times New Roman" w:eastAsia="宋体"/>
        </w:rPr>
      </w:pPr>
      <w:bookmarkStart w:id="28" w:name="heading_28"/>
      <w:r>
        <w:rPr>
          <w:rFonts w:ascii="Times New Roman" w:hAnsi="Times New Roman" w:eastAsia="宋体" w:cs="Arial"/>
          <w:b/>
          <w:sz w:val="32"/>
        </w:rPr>
        <w:t>（五）方案五：按人口流动与社会结构维度分类</w:t>
      </w:r>
      <w:bookmarkEnd w:id="28"/>
    </w:p>
    <w:p w14:paraId="16747C7F">
      <w:pPr>
        <w:spacing w:before="300" w:after="120" w:line="288" w:lineRule="auto"/>
        <w:ind w:left="0"/>
        <w:jc w:val="left"/>
        <w:outlineLvl w:val="2"/>
        <w:rPr>
          <w:rFonts w:ascii="Times New Roman" w:hAnsi="Times New Roman" w:eastAsia="宋体"/>
        </w:rPr>
      </w:pPr>
      <w:bookmarkStart w:id="29" w:name="heading_29"/>
      <w:r>
        <w:rPr>
          <w:rFonts w:ascii="Times New Roman" w:hAnsi="Times New Roman" w:eastAsia="宋体" w:cs="Arial"/>
          <w:b/>
          <w:sz w:val="30"/>
        </w:rPr>
        <w:t>1. 分类定位</w:t>
      </w:r>
      <w:bookmarkEnd w:id="29"/>
    </w:p>
    <w:p w14:paraId="3EFC7110">
      <w:pPr>
        <w:spacing w:before="120" w:after="120" w:line="288" w:lineRule="auto"/>
        <w:ind w:left="0"/>
        <w:jc w:val="left"/>
        <w:rPr>
          <w:rFonts w:ascii="Times New Roman" w:hAnsi="Times New Roman" w:eastAsia="宋体"/>
        </w:rPr>
      </w:pPr>
      <w:r>
        <w:rPr>
          <w:rFonts w:ascii="Times New Roman" w:hAnsi="Times New Roman" w:eastAsia="宋体" w:cs="Arial"/>
          <w:sz w:val="22"/>
        </w:rPr>
        <w:t>以人口流动频率、社会关系结构为分类核心，结合社会解组理论，针对不同人口特征区域制定差异化法治治理策略。</w:t>
      </w:r>
    </w:p>
    <w:p w14:paraId="78E3F84D">
      <w:pPr>
        <w:spacing w:before="300" w:after="120" w:line="288" w:lineRule="auto"/>
        <w:ind w:left="0"/>
        <w:jc w:val="left"/>
        <w:outlineLvl w:val="2"/>
        <w:rPr>
          <w:rFonts w:ascii="Times New Roman" w:hAnsi="Times New Roman" w:eastAsia="宋体"/>
        </w:rPr>
      </w:pPr>
      <w:bookmarkStart w:id="30" w:name="heading_30"/>
      <w:r>
        <w:rPr>
          <w:rFonts w:ascii="Times New Roman" w:hAnsi="Times New Roman" w:eastAsia="宋体" w:cs="Arial"/>
          <w:b/>
          <w:sz w:val="30"/>
        </w:rPr>
        <w:t>2. 分类细项</w:t>
      </w:r>
      <w:bookmarkEnd w:id="30"/>
    </w:p>
    <w:p w14:paraId="014CDFB4">
      <w:pPr>
        <w:spacing w:before="120" w:after="120" w:line="288" w:lineRule="auto"/>
        <w:ind w:left="0"/>
        <w:jc w:val="left"/>
        <w:rPr>
          <w:rFonts w:ascii="Times New Roman" w:hAnsi="Times New Roman" w:eastAsia="宋体"/>
        </w:rPr>
      </w:pPr>
      <w:r>
        <w:rPr>
          <w:rFonts w:ascii="Times New Roman" w:hAnsi="Times New Roman" w:eastAsia="宋体" w:cs="Arial"/>
          <w:sz w:val="22"/>
        </w:rPr>
        <w:t>1. 高流动性社区：交通枢纽周边的租房聚集区。</w:t>
      </w:r>
    </w:p>
    <w:p w14:paraId="4D546E29">
      <w:pPr>
        <w:spacing w:before="120" w:after="120" w:line="288" w:lineRule="auto"/>
        <w:ind w:left="0"/>
        <w:jc w:val="left"/>
        <w:rPr>
          <w:rFonts w:ascii="Times New Roman" w:hAnsi="Times New Roman" w:eastAsia="宋体"/>
        </w:rPr>
      </w:pPr>
      <w:r>
        <w:rPr>
          <w:rFonts w:ascii="Times New Roman" w:hAnsi="Times New Roman" w:eastAsia="宋体" w:cs="Arial"/>
          <w:sz w:val="22"/>
        </w:rPr>
        <w:t>2. 熟人社会社区：长期居住比例高的单位大院。</w:t>
      </w:r>
    </w:p>
    <w:p w14:paraId="7A644A19">
      <w:pPr>
        <w:spacing w:before="300" w:after="120" w:line="288" w:lineRule="auto"/>
        <w:ind w:left="0"/>
        <w:jc w:val="left"/>
        <w:outlineLvl w:val="2"/>
        <w:rPr>
          <w:rFonts w:ascii="Times New Roman" w:hAnsi="Times New Roman" w:eastAsia="宋体"/>
        </w:rPr>
      </w:pPr>
      <w:bookmarkStart w:id="31" w:name="heading_31"/>
      <w:r>
        <w:rPr>
          <w:rFonts w:ascii="Times New Roman" w:hAnsi="Times New Roman" w:eastAsia="宋体" w:cs="Arial"/>
          <w:b/>
          <w:sz w:val="30"/>
        </w:rPr>
        <w:t>3. 核心理由</w:t>
      </w:r>
      <w:bookmarkEnd w:id="31"/>
    </w:p>
    <w:p w14:paraId="7B078758">
      <w:pPr>
        <w:spacing w:before="120" w:after="120" w:line="288" w:lineRule="auto"/>
        <w:ind w:left="0"/>
        <w:jc w:val="left"/>
        <w:rPr>
          <w:rFonts w:ascii="Times New Roman" w:hAnsi="Times New Roman" w:eastAsia="宋体"/>
        </w:rPr>
      </w:pPr>
      <w:r>
        <w:rPr>
          <w:rFonts w:ascii="Times New Roman" w:hAnsi="Times New Roman" w:eastAsia="宋体" w:cs="Arial"/>
          <w:sz w:val="22"/>
        </w:rPr>
        <w:t>1. 理论：社会解组理论（Social Disorganization Theory）强调社区匿名性与犯罪率的正相关。</w:t>
      </w:r>
    </w:p>
    <w:p w14:paraId="1201387C">
      <w:pPr>
        <w:spacing w:before="120" w:after="120" w:line="288" w:lineRule="auto"/>
        <w:ind w:left="0"/>
        <w:jc w:val="left"/>
        <w:rPr>
          <w:rFonts w:ascii="Times New Roman" w:hAnsi="Times New Roman" w:eastAsia="宋体"/>
        </w:rPr>
      </w:pPr>
      <w:r>
        <w:rPr>
          <w:rFonts w:ascii="Times New Roman" w:hAnsi="Times New Roman" w:eastAsia="宋体" w:cs="Arial"/>
          <w:sz w:val="22"/>
        </w:rPr>
        <w:t>2. 实践：针对流动人口多的区域，普法重点应放在反电信诈骗、劳动权益保障；针对老旧社区，重点应在继承、赡养及邻里关系。</w:t>
      </w:r>
    </w:p>
    <w:p w14:paraId="605574EF">
      <w:pPr>
        <w:spacing w:before="300" w:after="120" w:line="288" w:lineRule="auto"/>
        <w:ind w:left="0"/>
        <w:jc w:val="left"/>
        <w:outlineLvl w:val="2"/>
        <w:rPr>
          <w:rFonts w:ascii="Times New Roman" w:hAnsi="Times New Roman" w:eastAsia="宋体"/>
        </w:rPr>
      </w:pPr>
      <w:bookmarkStart w:id="32" w:name="heading_32"/>
      <w:r>
        <w:rPr>
          <w:rFonts w:ascii="Times New Roman" w:hAnsi="Times New Roman" w:eastAsia="宋体" w:cs="Arial"/>
          <w:b/>
          <w:sz w:val="30"/>
        </w:rPr>
        <w:t>4. 可参考文献</w:t>
      </w:r>
      <w:bookmarkEnd w:id="32"/>
    </w:p>
    <w:p w14:paraId="1CFA90A7">
      <w:pPr>
        <w:spacing w:before="120" w:after="120" w:line="288" w:lineRule="auto"/>
        <w:ind w:left="0"/>
        <w:jc w:val="left"/>
        <w:rPr>
          <w:rFonts w:ascii="Times New Roman" w:hAnsi="Times New Roman" w:eastAsia="宋体"/>
        </w:rPr>
      </w:pPr>
      <w:r>
        <w:rPr>
          <w:rFonts w:ascii="Times New Roman" w:hAnsi="Times New Roman" w:eastAsia="宋体" w:cs="Arial"/>
          <w:sz w:val="22"/>
        </w:rPr>
        <w:t>1.《大数据背景下城市社区法治风险的精准防控研究》——探讨如何利用多源数据进行风险建模，支持“精准普法”的逻辑构建。</w:t>
      </w:r>
    </w:p>
    <w:p w14:paraId="40DBEA26">
      <w:pPr>
        <w:spacing w:before="120" w:after="120" w:line="288" w:lineRule="auto"/>
        <w:ind w:left="0"/>
        <w:jc w:val="left"/>
        <w:rPr>
          <w:rFonts w:ascii="Times New Roman" w:hAnsi="Times New Roman" w:eastAsia="宋体"/>
        </w:rPr>
      </w:pPr>
      <w:r>
        <w:rPr>
          <w:rFonts w:ascii="Times New Roman" w:hAnsi="Times New Roman" w:eastAsia="宋体" w:cs="Arial"/>
          <w:sz w:val="22"/>
        </w:rPr>
        <w:t>11.Taylor, R. B. "Breaking Away from Broken Windows."——挑战传统的单一地域分类，强调社会生态系统对法治环境的影响，支持从“社会结构”分类。</w:t>
      </w:r>
    </w:p>
    <w:p w14:paraId="3AE1F236">
      <w:pPr>
        <w:spacing w:before="120" w:after="120" w:line="288" w:lineRule="auto"/>
        <w:ind w:left="0"/>
        <w:jc w:val="left"/>
        <w:rPr>
          <w:rFonts w:ascii="Times New Roman" w:hAnsi="Times New Roman" w:eastAsia="宋体"/>
        </w:rPr>
      </w:pPr>
      <w:r>
        <w:rPr>
          <w:rFonts w:ascii="Times New Roman" w:hAnsi="Times New Roman" w:eastAsia="宋体" w:cs="Arial"/>
          <w:sz w:val="22"/>
        </w:rPr>
        <w:t>1. 理论：社会解组理论（Social Disorganization Theory）强调社区匿名性与犯罪率的正相关。</w:t>
      </w:r>
    </w:p>
    <w:p w14:paraId="50748EEA">
      <w:pPr>
        <w:spacing w:before="120" w:after="120" w:line="288" w:lineRule="auto"/>
        <w:ind w:left="0"/>
        <w:jc w:val="left"/>
        <w:rPr>
          <w:rFonts w:ascii="Times New Roman" w:hAnsi="Times New Roman" w:eastAsia="宋体"/>
        </w:rPr>
      </w:pPr>
      <w:r>
        <w:rPr>
          <w:rFonts w:ascii="Times New Roman" w:hAnsi="Times New Roman" w:eastAsia="宋体" w:cs="Arial"/>
          <w:sz w:val="22"/>
        </w:rPr>
        <w:t>2. 实践：针对流动人口多的区域，普法重点应放在反电信诈骗、劳动权益保障；针对老旧社区，重点应在继承、赡养及邻里关系。</w:t>
      </w:r>
    </w:p>
    <w:p w14:paraId="35B30846">
      <w:pPr>
        <w:spacing w:before="320" w:after="120" w:line="288" w:lineRule="auto"/>
        <w:ind w:left="0"/>
        <w:jc w:val="left"/>
        <w:outlineLvl w:val="1"/>
        <w:rPr>
          <w:rFonts w:ascii="Times New Roman" w:hAnsi="Times New Roman" w:eastAsia="宋体"/>
        </w:rPr>
      </w:pPr>
      <w:bookmarkStart w:id="33" w:name="heading_33"/>
      <w:r>
        <w:rPr>
          <w:rFonts w:ascii="Times New Roman" w:hAnsi="Times New Roman" w:eastAsia="宋体" w:cs="Arial"/>
          <w:b/>
          <w:sz w:val="32"/>
        </w:rPr>
        <w:t>（六）方案六：按潮汐特征与空间时序维度分类</w:t>
      </w:r>
      <w:bookmarkEnd w:id="33"/>
    </w:p>
    <w:p w14:paraId="33ED4FB8">
      <w:pPr>
        <w:spacing w:before="300" w:after="120" w:line="288" w:lineRule="auto"/>
        <w:ind w:left="0"/>
        <w:jc w:val="left"/>
        <w:outlineLvl w:val="2"/>
        <w:rPr>
          <w:rFonts w:ascii="Times New Roman" w:hAnsi="Times New Roman" w:eastAsia="宋体"/>
        </w:rPr>
      </w:pPr>
      <w:bookmarkStart w:id="34" w:name="heading_34"/>
      <w:r>
        <w:rPr>
          <w:rFonts w:ascii="Times New Roman" w:hAnsi="Times New Roman" w:eastAsia="宋体" w:cs="Arial"/>
          <w:b/>
          <w:sz w:val="30"/>
        </w:rPr>
        <w:t>1. 分类定位</w:t>
      </w:r>
      <w:bookmarkEnd w:id="34"/>
    </w:p>
    <w:p w14:paraId="317DA262">
      <w:pPr>
        <w:spacing w:before="120" w:after="120" w:line="288" w:lineRule="auto"/>
        <w:ind w:left="0"/>
        <w:jc w:val="left"/>
        <w:rPr>
          <w:rFonts w:ascii="Times New Roman" w:hAnsi="Times New Roman" w:eastAsia="宋体"/>
        </w:rPr>
      </w:pPr>
      <w:r>
        <w:rPr>
          <w:rFonts w:ascii="Times New Roman" w:hAnsi="Times New Roman" w:eastAsia="宋体" w:cs="Arial"/>
          <w:sz w:val="22"/>
        </w:rPr>
        <w:t>结合时空行为理论，以区域人口潮汐波动特征、空间时序变化为分类依据，引入“时间权重”，实现动态风险监测与治理。</w:t>
      </w:r>
    </w:p>
    <w:p w14:paraId="65E2A112">
      <w:pPr>
        <w:spacing w:before="300" w:after="120" w:line="288" w:lineRule="auto"/>
        <w:ind w:left="0"/>
        <w:jc w:val="left"/>
        <w:outlineLvl w:val="2"/>
        <w:rPr>
          <w:rFonts w:ascii="Times New Roman" w:hAnsi="Times New Roman" w:eastAsia="宋体"/>
        </w:rPr>
      </w:pPr>
      <w:bookmarkStart w:id="35" w:name="heading_35"/>
      <w:r>
        <w:rPr>
          <w:rFonts w:ascii="Times New Roman" w:hAnsi="Times New Roman" w:eastAsia="宋体" w:cs="Arial"/>
          <w:b/>
          <w:sz w:val="30"/>
        </w:rPr>
        <w:t>2. 分类细项</w:t>
      </w:r>
      <w:bookmarkEnd w:id="35"/>
    </w:p>
    <w:p w14:paraId="0B3AD50A">
      <w:pPr>
        <w:spacing w:before="120" w:after="120" w:line="288" w:lineRule="auto"/>
        <w:ind w:left="0"/>
        <w:jc w:val="left"/>
        <w:rPr>
          <w:rFonts w:ascii="Times New Roman" w:hAnsi="Times New Roman" w:eastAsia="宋体"/>
        </w:rPr>
      </w:pPr>
      <w:r>
        <w:rPr>
          <w:rFonts w:ascii="Times New Roman" w:hAnsi="Times New Roman" w:eastAsia="宋体" w:cs="Arial"/>
          <w:sz w:val="22"/>
        </w:rPr>
        <w:t>1. 极端单向通勤区（“睡城”）：白天极度安静，夜晚及周末人口密度激增。</w:t>
      </w:r>
    </w:p>
    <w:p w14:paraId="047A3A66">
      <w:pPr>
        <w:spacing w:before="120" w:after="120" w:line="288" w:lineRule="auto"/>
        <w:ind w:left="0"/>
        <w:jc w:val="left"/>
        <w:rPr>
          <w:rFonts w:ascii="Times New Roman" w:hAnsi="Times New Roman" w:eastAsia="宋体"/>
        </w:rPr>
      </w:pPr>
      <w:r>
        <w:rPr>
          <w:rFonts w:ascii="Times New Roman" w:hAnsi="Times New Roman" w:eastAsia="宋体" w:cs="Arial"/>
          <w:sz w:val="22"/>
        </w:rPr>
        <w:t>2. 全时段活跃区：医院周边、交通枢纽（火车站/换乘站）。</w:t>
      </w:r>
    </w:p>
    <w:p w14:paraId="05E04F73">
      <w:pPr>
        <w:spacing w:before="120" w:after="120" w:line="288" w:lineRule="auto"/>
        <w:ind w:left="0"/>
        <w:jc w:val="left"/>
        <w:rPr>
          <w:rFonts w:ascii="Times New Roman" w:hAnsi="Times New Roman" w:eastAsia="宋体"/>
        </w:rPr>
      </w:pPr>
      <w:r>
        <w:rPr>
          <w:rFonts w:ascii="Times New Roman" w:hAnsi="Times New Roman" w:eastAsia="宋体" w:cs="Arial"/>
          <w:sz w:val="22"/>
        </w:rPr>
        <w:t>3. 节假日周期波动区：景区周边、演艺场馆周边。</w:t>
      </w:r>
    </w:p>
    <w:p w14:paraId="414770BC">
      <w:pPr>
        <w:spacing w:before="300" w:after="120" w:line="288" w:lineRule="auto"/>
        <w:ind w:left="0"/>
        <w:jc w:val="left"/>
        <w:outlineLvl w:val="2"/>
        <w:rPr>
          <w:rFonts w:ascii="Times New Roman" w:hAnsi="Times New Roman" w:eastAsia="宋体"/>
        </w:rPr>
      </w:pPr>
      <w:bookmarkStart w:id="36" w:name="heading_36"/>
      <w:r>
        <w:rPr>
          <w:rFonts w:ascii="Times New Roman" w:hAnsi="Times New Roman" w:eastAsia="宋体" w:cs="Arial"/>
          <w:b/>
          <w:sz w:val="30"/>
        </w:rPr>
        <w:t>4. 理由与研究经验</w:t>
      </w:r>
      <w:bookmarkEnd w:id="36"/>
    </w:p>
    <w:p w14:paraId="59112962">
      <w:pPr>
        <w:spacing w:before="120" w:after="120" w:line="288" w:lineRule="auto"/>
        <w:ind w:left="0"/>
        <w:jc w:val="left"/>
        <w:rPr>
          <w:rFonts w:ascii="Times New Roman" w:hAnsi="Times New Roman" w:eastAsia="宋体"/>
        </w:rPr>
      </w:pPr>
      <w:r>
        <w:rPr>
          <w:rFonts w:ascii="Times New Roman" w:hAnsi="Times New Roman" w:eastAsia="宋体" w:cs="Arial"/>
          <w:sz w:val="22"/>
        </w:rPr>
        <w:t>1. 理论：时空行为理论（Time-Geography）。</w:t>
      </w:r>
    </w:p>
    <w:p w14:paraId="68FBFAE3">
      <w:pPr>
        <w:spacing w:before="120" w:after="120" w:line="288" w:lineRule="auto"/>
        <w:ind w:left="0"/>
        <w:jc w:val="left"/>
        <w:rPr>
          <w:rFonts w:ascii="Times New Roman" w:hAnsi="Times New Roman" w:eastAsia="宋体"/>
        </w:rPr>
      </w:pPr>
      <w:r>
        <w:rPr>
          <w:rFonts w:ascii="Times New Roman" w:hAnsi="Times New Roman" w:eastAsia="宋体" w:cs="Arial"/>
          <w:sz w:val="22"/>
        </w:rPr>
        <w:t>2. 实践：风险感知平台需要引入“时间权重”。“睡城”在白天的入室盗窃风险和夜间的家庭暴力风险模型完全不同，这符合项目目标中“动态监测”的需求。</w:t>
      </w:r>
    </w:p>
    <w:p w14:paraId="33F6E962">
      <w:pPr>
        <w:spacing w:before="300" w:after="120" w:line="288" w:lineRule="auto"/>
        <w:ind w:left="0"/>
        <w:jc w:val="left"/>
        <w:outlineLvl w:val="2"/>
        <w:rPr>
          <w:rFonts w:ascii="Times New Roman" w:hAnsi="Times New Roman" w:eastAsia="宋体"/>
        </w:rPr>
      </w:pPr>
      <w:bookmarkStart w:id="37" w:name="heading_37"/>
      <w:r>
        <w:rPr>
          <w:rFonts w:ascii="Times New Roman" w:hAnsi="Times New Roman" w:eastAsia="宋体" w:cs="Arial"/>
          <w:b/>
          <w:sz w:val="30"/>
        </w:rPr>
        <w:t>5. 可参考文献</w:t>
      </w:r>
      <w:bookmarkEnd w:id="37"/>
    </w:p>
    <w:p w14:paraId="6707B98C">
      <w:pPr>
        <w:spacing w:before="120" w:after="120" w:line="288" w:lineRule="auto"/>
        <w:ind w:left="0"/>
        <w:jc w:val="left"/>
        <w:rPr>
          <w:rFonts w:ascii="Times New Roman" w:hAnsi="Times New Roman" w:eastAsia="宋体"/>
        </w:rPr>
      </w:pPr>
      <w:r>
        <w:rPr>
          <w:rFonts w:ascii="Times New Roman" w:hAnsi="Times New Roman" w:eastAsia="宋体" w:cs="Arial"/>
          <w:sz w:val="22"/>
        </w:rPr>
        <w:t>10.Hipp, J. R., &amp; Kim, Y. A. "Measuring Crime Change in Communities Over Time: Can We Trust the Census?"——探讨了社会学数据与法治风险之间的动态演变，为“动态感知”提供统计学支持。</w:t>
      </w:r>
    </w:p>
    <w:p w14:paraId="3052EC75">
      <w:pPr>
        <w:spacing w:before="120" w:after="120" w:line="288" w:lineRule="auto"/>
        <w:ind w:left="0"/>
        <w:jc w:val="left"/>
        <w:rPr>
          <w:rFonts w:ascii="Times New Roman" w:hAnsi="Times New Roman" w:eastAsia="宋体"/>
        </w:rPr>
      </w:pPr>
      <w:r>
        <w:rPr>
          <w:rFonts w:ascii="Times New Roman" w:hAnsi="Times New Roman" w:eastAsia="宋体" w:cs="Arial"/>
          <w:sz w:val="22"/>
        </w:rPr>
        <w:t>12. Kelling, G. L., &amp; Wilson, J. Q. "Broken Windows: The Police and Neighborhood Safety."——经典的破窗理论，论证了为什么物理环境的细微恶化会导致法治风险激增。</w:t>
      </w:r>
    </w:p>
    <w:p w14:paraId="38F3D2B7">
      <w:pPr>
        <w:spacing w:before="120" w:after="120" w:line="288" w:lineRule="auto"/>
        <w:ind w:left="0"/>
        <w:jc w:val="left"/>
        <w:rPr>
          <w:rFonts w:ascii="Times New Roman" w:hAnsi="Times New Roman" w:eastAsia="宋体"/>
        </w:rPr>
      </w:pPr>
      <w:r>
        <w:rPr>
          <w:rFonts w:ascii="Times New Roman" w:hAnsi="Times New Roman" w:eastAsia="宋体" w:cs="Arial"/>
          <w:sz w:val="22"/>
        </w:rPr>
        <w:t>1. 理论：时空行为理论（Time-Geography）。</w:t>
      </w:r>
    </w:p>
    <w:p w14:paraId="59EE293A">
      <w:pPr>
        <w:spacing w:before="120" w:after="120" w:line="288" w:lineRule="auto"/>
        <w:ind w:left="0"/>
        <w:jc w:val="left"/>
        <w:rPr>
          <w:rFonts w:ascii="Times New Roman" w:hAnsi="Times New Roman" w:eastAsia="宋体"/>
        </w:rPr>
      </w:pPr>
      <w:r>
        <w:rPr>
          <w:rFonts w:ascii="Times New Roman" w:hAnsi="Times New Roman" w:eastAsia="宋体" w:cs="Arial"/>
          <w:sz w:val="22"/>
        </w:rPr>
        <w:t>2. 实践：风险感知平台需要引入“时间权重”。“睡城”在白天的入室盗窃风险和夜间的家庭暴力风险模型完全不同，这符合项目目标中“动态监测”的需求。</w:t>
      </w:r>
    </w:p>
    <w:p w14:paraId="6F0483A8">
      <w:pPr>
        <w:spacing w:before="320" w:after="120" w:line="288" w:lineRule="auto"/>
        <w:ind w:left="0"/>
        <w:jc w:val="left"/>
        <w:outlineLvl w:val="1"/>
        <w:rPr>
          <w:rFonts w:ascii="Times New Roman" w:hAnsi="Times New Roman" w:eastAsia="宋体"/>
        </w:rPr>
      </w:pPr>
      <w:bookmarkStart w:id="38" w:name="heading_38"/>
      <w:r>
        <w:rPr>
          <w:rFonts w:ascii="Times New Roman" w:hAnsi="Times New Roman" w:eastAsia="宋体" w:cs="Arial"/>
          <w:b/>
          <w:sz w:val="32"/>
        </w:rPr>
        <w:t>（七）方案七：按法治风险承载力维度分类</w:t>
      </w:r>
      <w:bookmarkEnd w:id="38"/>
    </w:p>
    <w:p w14:paraId="34EBF746">
      <w:pPr>
        <w:spacing w:before="300" w:after="120" w:line="288" w:lineRule="auto"/>
        <w:ind w:left="0"/>
        <w:jc w:val="left"/>
        <w:outlineLvl w:val="2"/>
        <w:rPr>
          <w:rFonts w:ascii="Times New Roman" w:hAnsi="Times New Roman" w:eastAsia="宋体"/>
        </w:rPr>
      </w:pPr>
      <w:bookmarkStart w:id="39" w:name="heading_39"/>
      <w:r>
        <w:rPr>
          <w:rFonts w:ascii="Times New Roman" w:hAnsi="Times New Roman" w:eastAsia="宋体" w:cs="Arial"/>
          <w:b/>
          <w:sz w:val="30"/>
        </w:rPr>
        <w:t>1. 分类定位</w:t>
      </w:r>
      <w:bookmarkEnd w:id="39"/>
    </w:p>
    <w:p w14:paraId="37A262B1">
      <w:pPr>
        <w:spacing w:before="120" w:after="120" w:line="288" w:lineRule="auto"/>
        <w:ind w:left="0"/>
        <w:jc w:val="left"/>
        <w:rPr>
          <w:rFonts w:ascii="Times New Roman" w:hAnsi="Times New Roman" w:eastAsia="宋体"/>
        </w:rPr>
      </w:pPr>
      <w:r>
        <w:rPr>
          <w:rFonts w:ascii="Times New Roman" w:hAnsi="Times New Roman" w:eastAsia="宋体" w:cs="Arial"/>
          <w:sz w:val="22"/>
        </w:rPr>
        <w:t>以区域法治风险发生频率、投诉率及治理能力为核心，划分风险等级区域，实现治理资源最优配置。</w:t>
      </w:r>
    </w:p>
    <w:p w14:paraId="04FDCDC5">
      <w:pPr>
        <w:spacing w:before="300" w:after="120" w:line="288" w:lineRule="auto"/>
        <w:ind w:left="0"/>
        <w:jc w:val="left"/>
        <w:outlineLvl w:val="2"/>
        <w:rPr>
          <w:rFonts w:ascii="Times New Roman" w:hAnsi="Times New Roman" w:eastAsia="宋体"/>
        </w:rPr>
      </w:pPr>
      <w:bookmarkStart w:id="40" w:name="heading_40"/>
      <w:r>
        <w:rPr>
          <w:rFonts w:ascii="Times New Roman" w:hAnsi="Times New Roman" w:eastAsia="宋体" w:cs="Arial"/>
          <w:b/>
          <w:sz w:val="30"/>
        </w:rPr>
        <w:t>2. 分类细项</w:t>
      </w:r>
      <w:bookmarkEnd w:id="40"/>
    </w:p>
    <w:p w14:paraId="351C1C15">
      <w:pPr>
        <w:spacing w:before="120" w:after="120" w:line="288" w:lineRule="auto"/>
        <w:ind w:left="0"/>
        <w:jc w:val="left"/>
        <w:rPr>
          <w:rFonts w:ascii="Times New Roman" w:hAnsi="Times New Roman" w:eastAsia="宋体"/>
        </w:rPr>
      </w:pPr>
      <w:r>
        <w:rPr>
          <w:rFonts w:ascii="Times New Roman" w:hAnsi="Times New Roman" w:eastAsia="宋体" w:cs="Arial"/>
          <w:sz w:val="22"/>
        </w:rPr>
        <w:t>1. 高风险预警区：近三年案件频发且12345投诉率居高不下的区域。</w:t>
      </w:r>
    </w:p>
    <w:p w14:paraId="7FE9B6DD">
      <w:pPr>
        <w:spacing w:before="120" w:after="120" w:line="288" w:lineRule="auto"/>
        <w:ind w:left="0"/>
        <w:jc w:val="left"/>
        <w:rPr>
          <w:rFonts w:ascii="Times New Roman" w:hAnsi="Times New Roman" w:eastAsia="宋体"/>
        </w:rPr>
      </w:pPr>
      <w:r>
        <w:rPr>
          <w:rFonts w:ascii="Times New Roman" w:hAnsi="Times New Roman" w:eastAsia="宋体" w:cs="Arial"/>
          <w:sz w:val="22"/>
        </w:rPr>
        <w:t>2. 法治韧性区：调解机制健全、社会组织活跃度高的区域。</w:t>
      </w:r>
    </w:p>
    <w:p w14:paraId="5DDA2ACF">
      <w:pPr>
        <w:spacing w:before="300" w:after="120" w:line="288" w:lineRule="auto"/>
        <w:ind w:left="0"/>
        <w:jc w:val="left"/>
        <w:outlineLvl w:val="2"/>
        <w:rPr>
          <w:rFonts w:ascii="Times New Roman" w:hAnsi="Times New Roman" w:eastAsia="宋体"/>
        </w:rPr>
      </w:pPr>
      <w:bookmarkStart w:id="41" w:name="heading_41"/>
      <w:r>
        <w:rPr>
          <w:rFonts w:ascii="Times New Roman" w:hAnsi="Times New Roman" w:eastAsia="宋体" w:cs="Arial"/>
          <w:b/>
          <w:sz w:val="30"/>
        </w:rPr>
        <w:t>3. 核心理由</w:t>
      </w:r>
      <w:bookmarkEnd w:id="41"/>
    </w:p>
    <w:p w14:paraId="06758BEF">
      <w:pPr>
        <w:spacing w:before="120" w:after="120" w:line="288" w:lineRule="auto"/>
        <w:ind w:left="0"/>
        <w:jc w:val="left"/>
        <w:rPr>
          <w:rFonts w:ascii="Times New Roman" w:hAnsi="Times New Roman" w:eastAsia="宋体"/>
        </w:rPr>
      </w:pPr>
      <w:r>
        <w:rPr>
          <w:rFonts w:ascii="Times New Roman" w:hAnsi="Times New Roman" w:eastAsia="宋体" w:cs="Arial"/>
          <w:sz w:val="22"/>
        </w:rPr>
        <w:t>实践上：结合相关视频中提到的“风险等级（高、中、低）”，实现资源的最优配置，将普法力量向“法治洼地”倾斜。</w:t>
      </w:r>
    </w:p>
    <w:p w14:paraId="4DA675FA">
      <w:pPr>
        <w:spacing w:before="300" w:after="120" w:line="288" w:lineRule="auto"/>
        <w:ind w:left="0"/>
        <w:jc w:val="left"/>
        <w:outlineLvl w:val="2"/>
        <w:rPr>
          <w:rFonts w:ascii="Times New Roman" w:hAnsi="Times New Roman" w:eastAsia="宋体"/>
        </w:rPr>
      </w:pPr>
      <w:bookmarkStart w:id="42" w:name="heading_42"/>
      <w:r>
        <w:rPr>
          <w:rFonts w:ascii="Times New Roman" w:hAnsi="Times New Roman" w:eastAsia="宋体" w:cs="Arial"/>
          <w:b/>
          <w:sz w:val="30"/>
        </w:rPr>
        <w:t>4. 可参考文献</w:t>
      </w:r>
      <w:bookmarkEnd w:id="42"/>
    </w:p>
    <w:p w14:paraId="045046B2">
      <w:pPr>
        <w:spacing w:before="120" w:after="120" w:line="288" w:lineRule="auto"/>
        <w:ind w:left="0"/>
        <w:jc w:val="left"/>
        <w:rPr>
          <w:rFonts w:ascii="Times New Roman" w:hAnsi="Times New Roman" w:eastAsia="宋体"/>
        </w:rPr>
      </w:pPr>
      <w:r>
        <w:rPr>
          <w:rFonts w:ascii="Times New Roman" w:hAnsi="Times New Roman" w:eastAsia="宋体" w:cs="Arial"/>
          <w:sz w:val="22"/>
        </w:rPr>
        <w:t>1.《大数据背景下城市社区法治风险的精准防控研究》——探讨如何利用多源数据进行风险建模，支持“精准普法”的逻辑构建。</w:t>
      </w:r>
    </w:p>
    <w:p w14:paraId="03B05F42">
      <w:pPr>
        <w:spacing w:before="120" w:after="120" w:line="288" w:lineRule="auto"/>
        <w:ind w:left="0"/>
        <w:jc w:val="left"/>
        <w:rPr>
          <w:rFonts w:ascii="Times New Roman" w:hAnsi="Times New Roman" w:eastAsia="宋体"/>
        </w:rPr>
      </w:pPr>
      <w:r>
        <w:rPr>
          <w:rFonts w:ascii="Times New Roman" w:hAnsi="Times New Roman" w:eastAsia="宋体" w:cs="Arial"/>
          <w:sz w:val="22"/>
        </w:rPr>
        <w:t>实践上：结合相关视频中提到的“风险等级（高、中、低）”，实现资源的最优配置，将普法力量向“法治洼地”倾斜。</w:t>
      </w:r>
    </w:p>
    <w:p w14:paraId="49A35DC1">
      <w:pPr>
        <w:spacing w:before="320" w:after="120" w:line="288" w:lineRule="auto"/>
        <w:ind w:left="0"/>
        <w:jc w:val="left"/>
        <w:outlineLvl w:val="1"/>
        <w:rPr>
          <w:rFonts w:ascii="Times New Roman" w:hAnsi="Times New Roman" w:eastAsia="宋体"/>
        </w:rPr>
      </w:pPr>
      <w:bookmarkStart w:id="43" w:name="heading_43"/>
      <w:r>
        <w:rPr>
          <w:rFonts w:ascii="Times New Roman" w:hAnsi="Times New Roman" w:eastAsia="宋体" w:cs="Arial"/>
          <w:b/>
          <w:sz w:val="32"/>
        </w:rPr>
        <w:t>（八）方案八：按社会资本与治理韧性维度分类</w:t>
      </w:r>
      <w:bookmarkEnd w:id="43"/>
    </w:p>
    <w:p w14:paraId="19AA719B">
      <w:pPr>
        <w:spacing w:before="300" w:after="120" w:line="288" w:lineRule="auto"/>
        <w:ind w:left="0"/>
        <w:jc w:val="left"/>
        <w:outlineLvl w:val="2"/>
        <w:rPr>
          <w:rFonts w:ascii="Times New Roman" w:hAnsi="Times New Roman" w:eastAsia="宋体"/>
        </w:rPr>
      </w:pPr>
      <w:bookmarkStart w:id="44" w:name="heading_44"/>
      <w:r>
        <w:rPr>
          <w:rFonts w:ascii="Times New Roman" w:hAnsi="Times New Roman" w:eastAsia="宋体" w:cs="Arial"/>
          <w:b/>
          <w:sz w:val="30"/>
        </w:rPr>
        <w:t>1. 分类定位</w:t>
      </w:r>
      <w:bookmarkEnd w:id="44"/>
    </w:p>
    <w:p w14:paraId="3E5C0277">
      <w:pPr>
        <w:spacing w:before="120" w:after="120" w:line="288" w:lineRule="auto"/>
        <w:ind w:left="0"/>
        <w:jc w:val="left"/>
        <w:rPr>
          <w:rFonts w:ascii="Times New Roman" w:hAnsi="Times New Roman" w:eastAsia="宋体"/>
        </w:rPr>
      </w:pPr>
      <w:r>
        <w:rPr>
          <w:rFonts w:ascii="Times New Roman" w:hAnsi="Times New Roman" w:eastAsia="宋体" w:cs="Arial"/>
          <w:sz w:val="22"/>
        </w:rPr>
        <w:t>基于社会资本理论，以社区契约关系、邻里关联度为分类依据，制定差异化治理建议，适配不同社区治理逻辑。</w:t>
      </w:r>
    </w:p>
    <w:p w14:paraId="32C35D40">
      <w:pPr>
        <w:spacing w:before="300" w:after="120" w:line="288" w:lineRule="auto"/>
        <w:ind w:left="0"/>
        <w:jc w:val="left"/>
        <w:outlineLvl w:val="2"/>
        <w:rPr>
          <w:rFonts w:ascii="Times New Roman" w:hAnsi="Times New Roman" w:eastAsia="宋体"/>
        </w:rPr>
      </w:pPr>
      <w:bookmarkStart w:id="45" w:name="heading_45"/>
      <w:r>
        <w:rPr>
          <w:rFonts w:ascii="Times New Roman" w:hAnsi="Times New Roman" w:eastAsia="宋体" w:cs="Arial"/>
          <w:b/>
          <w:sz w:val="30"/>
        </w:rPr>
        <w:t>2. 分类细项</w:t>
      </w:r>
      <w:bookmarkEnd w:id="45"/>
    </w:p>
    <w:p w14:paraId="2ACBAED4">
      <w:pPr>
        <w:spacing w:before="120" w:after="120" w:line="288" w:lineRule="auto"/>
        <w:ind w:left="0"/>
        <w:jc w:val="left"/>
        <w:rPr>
          <w:rFonts w:ascii="Times New Roman" w:hAnsi="Times New Roman" w:eastAsia="宋体"/>
        </w:rPr>
      </w:pPr>
      <w:r>
        <w:rPr>
          <w:rFonts w:ascii="Times New Roman" w:hAnsi="Times New Roman" w:eastAsia="宋体" w:cs="Arial"/>
          <w:sz w:val="22"/>
        </w:rPr>
        <w:t>1. 强契约型社区：物业管理成熟、业委会运作规范的高档公寓。</w:t>
      </w:r>
    </w:p>
    <w:p w14:paraId="7ADD32F5">
      <w:pPr>
        <w:spacing w:before="120" w:after="120" w:line="288" w:lineRule="auto"/>
        <w:ind w:left="0"/>
        <w:jc w:val="left"/>
        <w:rPr>
          <w:rFonts w:ascii="Times New Roman" w:hAnsi="Times New Roman" w:eastAsia="宋体"/>
        </w:rPr>
      </w:pPr>
      <w:r>
        <w:rPr>
          <w:rFonts w:ascii="Times New Roman" w:hAnsi="Times New Roman" w:eastAsia="宋体" w:cs="Arial"/>
          <w:sz w:val="22"/>
        </w:rPr>
        <w:t>2. 强关系型社区：熟人社会、具有共同历史背景的单位家属院。</w:t>
      </w:r>
    </w:p>
    <w:p w14:paraId="1DC51244">
      <w:pPr>
        <w:spacing w:before="120" w:after="120" w:line="288" w:lineRule="auto"/>
        <w:ind w:left="0"/>
        <w:jc w:val="left"/>
        <w:rPr>
          <w:rFonts w:ascii="Times New Roman" w:hAnsi="Times New Roman" w:eastAsia="宋体"/>
        </w:rPr>
      </w:pPr>
      <w:r>
        <w:rPr>
          <w:rFonts w:ascii="Times New Roman" w:hAnsi="Times New Roman" w:eastAsia="宋体" w:cs="Arial"/>
          <w:sz w:val="22"/>
        </w:rPr>
        <w:t>3. 松散型社会空间：租房比例极高、邻里互不相识的城中村或短租聚集区。</w:t>
      </w:r>
    </w:p>
    <w:p w14:paraId="0FDCEE0A">
      <w:pPr>
        <w:spacing w:before="300" w:after="120" w:line="288" w:lineRule="auto"/>
        <w:ind w:left="0"/>
        <w:jc w:val="left"/>
        <w:outlineLvl w:val="2"/>
        <w:rPr>
          <w:rFonts w:ascii="Times New Roman" w:hAnsi="Times New Roman" w:eastAsia="宋体"/>
        </w:rPr>
      </w:pPr>
      <w:bookmarkStart w:id="46" w:name="heading_46"/>
      <w:r>
        <w:rPr>
          <w:rFonts w:ascii="Times New Roman" w:hAnsi="Times New Roman" w:eastAsia="宋体" w:cs="Arial"/>
          <w:b/>
          <w:sz w:val="30"/>
        </w:rPr>
        <w:t>3. 核心理由</w:t>
      </w:r>
      <w:bookmarkEnd w:id="46"/>
    </w:p>
    <w:p w14:paraId="3272667B">
      <w:pPr>
        <w:spacing w:before="120" w:after="120" w:line="288" w:lineRule="auto"/>
        <w:ind w:left="0"/>
        <w:jc w:val="left"/>
        <w:rPr>
          <w:rFonts w:ascii="Times New Roman" w:hAnsi="Times New Roman" w:eastAsia="宋体"/>
        </w:rPr>
      </w:pPr>
      <w:r>
        <w:rPr>
          <w:rFonts w:ascii="Times New Roman" w:hAnsi="Times New Roman" w:eastAsia="宋体" w:cs="Arial"/>
          <w:sz w:val="22"/>
        </w:rPr>
        <w:t>1. 理论：社会资本理论（Social Capital Theory）。</w:t>
      </w:r>
    </w:p>
    <w:p w14:paraId="6295789C">
      <w:pPr>
        <w:spacing w:before="120" w:after="120" w:line="288" w:lineRule="auto"/>
        <w:ind w:left="0"/>
        <w:jc w:val="left"/>
        <w:rPr>
          <w:rFonts w:ascii="Times New Roman" w:hAnsi="Times New Roman" w:eastAsia="宋体"/>
        </w:rPr>
      </w:pPr>
      <w:r>
        <w:rPr>
          <w:rFonts w:ascii="Times New Roman" w:hAnsi="Times New Roman" w:eastAsia="宋体" w:cs="Arial"/>
          <w:sz w:val="22"/>
        </w:rPr>
        <w:t>2. 实践：治理建议生成的逻辑不同。强契约型社区可推动“检察建议+物业合规”；松散型社区则需检察机关更直接的“靶向普法”干预。</w:t>
      </w:r>
    </w:p>
    <w:p w14:paraId="05C0F7E5">
      <w:pPr>
        <w:spacing w:before="300" w:after="120" w:line="288" w:lineRule="auto"/>
        <w:ind w:left="0"/>
        <w:jc w:val="left"/>
        <w:outlineLvl w:val="2"/>
        <w:rPr>
          <w:rFonts w:ascii="Times New Roman" w:hAnsi="Times New Roman" w:eastAsia="宋体"/>
        </w:rPr>
      </w:pPr>
      <w:bookmarkStart w:id="47" w:name="heading_47"/>
      <w:r>
        <w:rPr>
          <w:rFonts w:ascii="Times New Roman" w:hAnsi="Times New Roman" w:eastAsia="宋体" w:cs="Arial"/>
          <w:b/>
          <w:sz w:val="30"/>
        </w:rPr>
        <w:t>4. 可参考文献</w:t>
      </w:r>
      <w:bookmarkEnd w:id="47"/>
    </w:p>
    <w:p w14:paraId="07A59C11">
      <w:pPr>
        <w:spacing w:before="120" w:after="120" w:line="288" w:lineRule="auto"/>
        <w:ind w:left="0"/>
        <w:jc w:val="left"/>
        <w:rPr>
          <w:rFonts w:ascii="Times New Roman" w:hAnsi="Times New Roman" w:eastAsia="宋体"/>
        </w:rPr>
      </w:pPr>
      <w:r>
        <w:rPr>
          <w:rFonts w:ascii="Times New Roman" w:hAnsi="Times New Roman" w:eastAsia="宋体" w:cs="Arial"/>
          <w:sz w:val="22"/>
        </w:rPr>
        <w:t>5.《我国城市社区类型的演变与治理策略的差异化选择》——系统梳理了从“单位大院”到“商品住房”再到“转制社区”的分类方法。</w:t>
      </w:r>
    </w:p>
    <w:p w14:paraId="4A268DC3">
      <w:pPr>
        <w:spacing w:before="120" w:after="120" w:line="288" w:lineRule="auto"/>
        <w:ind w:left="0"/>
        <w:jc w:val="left"/>
        <w:rPr>
          <w:rFonts w:ascii="Times New Roman" w:hAnsi="Times New Roman" w:eastAsia="宋体"/>
        </w:rPr>
      </w:pPr>
      <w:r>
        <w:rPr>
          <w:rFonts w:ascii="Times New Roman" w:hAnsi="Times New Roman" w:eastAsia="宋体" w:cs="Arial"/>
          <w:sz w:val="22"/>
        </w:rPr>
        <w:t>11.Taylor, R. B. "Breaking Away from Broken Windows."——挑战传统的单一地域分类，强调社会生态系统对法治环境的影响，支持从“社会结构”分类。</w:t>
      </w:r>
    </w:p>
    <w:p w14:paraId="3AEB57D1">
      <w:pPr>
        <w:spacing w:before="120" w:after="120" w:line="288" w:lineRule="auto"/>
        <w:ind w:left="0"/>
        <w:jc w:val="left"/>
        <w:rPr>
          <w:rFonts w:ascii="Times New Roman" w:hAnsi="Times New Roman" w:eastAsia="宋体"/>
        </w:rPr>
      </w:pPr>
      <w:r>
        <w:rPr>
          <w:rFonts w:ascii="Times New Roman" w:hAnsi="Times New Roman" w:eastAsia="宋体" w:cs="Arial"/>
          <w:sz w:val="22"/>
        </w:rPr>
        <w:t>1. 理论：社会资本理论（Social Capital Theory）。</w:t>
      </w:r>
    </w:p>
    <w:p w14:paraId="669D25C7">
      <w:pPr>
        <w:spacing w:before="120" w:after="120" w:line="288" w:lineRule="auto"/>
        <w:ind w:left="0"/>
        <w:jc w:val="left"/>
        <w:rPr>
          <w:rFonts w:ascii="Times New Roman" w:hAnsi="Times New Roman" w:eastAsia="宋体"/>
        </w:rPr>
      </w:pPr>
      <w:r>
        <w:rPr>
          <w:rFonts w:ascii="Times New Roman" w:hAnsi="Times New Roman" w:eastAsia="宋体" w:cs="Arial"/>
          <w:sz w:val="22"/>
        </w:rPr>
        <w:t>2. 实践：治理建议生成的逻辑不同。强契约型社区可推动“检察建议+物业合规”；松散型社区则需检察机关更直接的“靶向普法”干预。</w:t>
      </w:r>
    </w:p>
    <w:p w14:paraId="2806C1F1">
      <w:pPr>
        <w:spacing w:before="320" w:after="120" w:line="288" w:lineRule="auto"/>
        <w:ind w:left="0"/>
        <w:jc w:val="left"/>
        <w:outlineLvl w:val="1"/>
        <w:rPr>
          <w:rFonts w:ascii="Times New Roman" w:hAnsi="Times New Roman" w:eastAsia="宋体"/>
        </w:rPr>
      </w:pPr>
      <w:bookmarkStart w:id="48" w:name="heading_48"/>
      <w:r>
        <w:rPr>
          <w:rFonts w:ascii="Times New Roman" w:hAnsi="Times New Roman" w:eastAsia="宋体" w:cs="Arial"/>
          <w:b/>
          <w:sz w:val="32"/>
        </w:rPr>
        <w:t>（九）方案九：按产业生态维度分类</w:t>
      </w:r>
      <w:bookmarkEnd w:id="48"/>
    </w:p>
    <w:p w14:paraId="06939567">
      <w:pPr>
        <w:spacing w:before="300" w:after="120" w:line="288" w:lineRule="auto"/>
        <w:ind w:left="0"/>
        <w:jc w:val="left"/>
        <w:outlineLvl w:val="2"/>
        <w:rPr>
          <w:rFonts w:ascii="Times New Roman" w:hAnsi="Times New Roman" w:eastAsia="宋体"/>
        </w:rPr>
      </w:pPr>
      <w:bookmarkStart w:id="49" w:name="heading_49"/>
      <w:r>
        <w:rPr>
          <w:rFonts w:ascii="Times New Roman" w:hAnsi="Times New Roman" w:eastAsia="宋体" w:cs="Arial"/>
          <w:b/>
          <w:sz w:val="30"/>
        </w:rPr>
        <w:t>1. 分类定位</w:t>
      </w:r>
      <w:bookmarkEnd w:id="49"/>
    </w:p>
    <w:p w14:paraId="7902A50A">
      <w:pPr>
        <w:spacing w:before="120" w:after="120" w:line="288" w:lineRule="auto"/>
        <w:ind w:left="0"/>
        <w:jc w:val="left"/>
        <w:rPr>
          <w:rFonts w:ascii="Times New Roman" w:hAnsi="Times New Roman" w:eastAsia="宋体"/>
        </w:rPr>
      </w:pPr>
      <w:r>
        <w:rPr>
          <w:rFonts w:ascii="Times New Roman" w:hAnsi="Times New Roman" w:eastAsia="宋体" w:cs="Arial"/>
          <w:sz w:val="22"/>
        </w:rPr>
        <w:t>结合犯罪类型学理论，以区域产业集聚特征为分类依据，匹配产业专属法律风险，实现精准普法与监督。</w:t>
      </w:r>
    </w:p>
    <w:p w14:paraId="300DCC44">
      <w:pPr>
        <w:spacing w:before="300" w:after="120" w:line="288" w:lineRule="auto"/>
        <w:ind w:left="0"/>
        <w:jc w:val="left"/>
        <w:outlineLvl w:val="2"/>
        <w:rPr>
          <w:rFonts w:ascii="Times New Roman" w:hAnsi="Times New Roman" w:eastAsia="宋体"/>
        </w:rPr>
      </w:pPr>
      <w:bookmarkStart w:id="50" w:name="heading_50"/>
      <w:r>
        <w:rPr>
          <w:rFonts w:ascii="Times New Roman" w:hAnsi="Times New Roman" w:eastAsia="宋体" w:cs="Arial"/>
          <w:b/>
          <w:sz w:val="30"/>
        </w:rPr>
        <w:t>2. 分类细项</w:t>
      </w:r>
      <w:bookmarkEnd w:id="50"/>
    </w:p>
    <w:p w14:paraId="7C9307F4">
      <w:pPr>
        <w:spacing w:before="120" w:after="120" w:line="288" w:lineRule="auto"/>
        <w:ind w:left="0"/>
        <w:jc w:val="left"/>
        <w:rPr>
          <w:rFonts w:ascii="Times New Roman" w:hAnsi="Times New Roman" w:eastAsia="宋体"/>
        </w:rPr>
      </w:pPr>
      <w:r>
        <w:rPr>
          <w:rFonts w:ascii="Times New Roman" w:hAnsi="Times New Roman" w:eastAsia="宋体" w:cs="Arial"/>
          <w:sz w:val="22"/>
        </w:rPr>
        <w:t>1. 高新创新集群区：软件园、科创中心。</w:t>
      </w:r>
    </w:p>
    <w:p w14:paraId="63627183">
      <w:pPr>
        <w:spacing w:before="120" w:after="120" w:line="288" w:lineRule="auto"/>
        <w:ind w:left="0"/>
        <w:jc w:val="left"/>
        <w:rPr>
          <w:rFonts w:ascii="Times New Roman" w:hAnsi="Times New Roman" w:eastAsia="宋体"/>
        </w:rPr>
      </w:pPr>
      <w:r>
        <w:rPr>
          <w:rFonts w:ascii="Times New Roman" w:hAnsi="Times New Roman" w:eastAsia="宋体" w:cs="Arial"/>
          <w:sz w:val="22"/>
        </w:rPr>
        <w:t>2. 传统商贸流通区：批发市场、物流中转站。</w:t>
      </w:r>
    </w:p>
    <w:p w14:paraId="3FCCD20D">
      <w:pPr>
        <w:spacing w:before="120" w:after="120" w:line="288" w:lineRule="auto"/>
        <w:ind w:left="0"/>
        <w:jc w:val="left"/>
        <w:rPr>
          <w:rFonts w:ascii="Times New Roman" w:hAnsi="Times New Roman" w:eastAsia="宋体"/>
        </w:rPr>
      </w:pPr>
      <w:r>
        <w:rPr>
          <w:rFonts w:ascii="Times New Roman" w:hAnsi="Times New Roman" w:eastAsia="宋体" w:cs="Arial"/>
          <w:sz w:val="22"/>
        </w:rPr>
        <w:t>3. 现代高端服务区：银行总部、律所集群、高端写字楼。</w:t>
      </w:r>
    </w:p>
    <w:p w14:paraId="2911B00B">
      <w:pPr>
        <w:spacing w:before="120" w:after="120" w:line="288" w:lineRule="auto"/>
        <w:ind w:left="0"/>
        <w:jc w:val="left"/>
        <w:rPr>
          <w:rFonts w:ascii="Times New Roman" w:hAnsi="Times New Roman" w:eastAsia="宋体"/>
        </w:rPr>
      </w:pPr>
      <w:r>
        <w:rPr>
          <w:rFonts w:ascii="Times New Roman" w:hAnsi="Times New Roman" w:eastAsia="宋体" w:cs="Arial"/>
          <w:sz w:val="22"/>
        </w:rPr>
        <w:t>4. 生活性服务业聚集区：餐饮街、家政维修点集中的老旧街区。</w:t>
      </w:r>
    </w:p>
    <w:p w14:paraId="7DB2F228">
      <w:pPr>
        <w:spacing w:before="300" w:after="120" w:line="288" w:lineRule="auto"/>
        <w:ind w:left="0"/>
        <w:jc w:val="left"/>
        <w:outlineLvl w:val="2"/>
        <w:rPr>
          <w:rFonts w:ascii="Times New Roman" w:hAnsi="Times New Roman" w:eastAsia="宋体"/>
        </w:rPr>
      </w:pPr>
      <w:bookmarkStart w:id="51" w:name="heading_51"/>
      <w:r>
        <w:rPr>
          <w:rFonts w:ascii="Times New Roman" w:hAnsi="Times New Roman" w:eastAsia="宋体" w:cs="Arial"/>
          <w:b/>
          <w:sz w:val="30"/>
        </w:rPr>
        <w:t>3. 理由与研究经验</w:t>
      </w:r>
      <w:bookmarkEnd w:id="51"/>
    </w:p>
    <w:p w14:paraId="348BA617">
      <w:pPr>
        <w:spacing w:before="120" w:after="120" w:line="288" w:lineRule="auto"/>
        <w:ind w:left="0"/>
        <w:jc w:val="left"/>
        <w:rPr>
          <w:rFonts w:ascii="Times New Roman" w:hAnsi="Times New Roman" w:eastAsia="宋体"/>
        </w:rPr>
      </w:pPr>
      <w:r>
        <w:rPr>
          <w:rFonts w:ascii="Times New Roman" w:hAnsi="Times New Roman" w:eastAsia="宋体" w:cs="Arial"/>
          <w:sz w:val="22"/>
        </w:rPr>
        <w:t>1. 理论：犯罪类型学（Crime Typology）。研究表明，产业生态决定了法律风险的“品种”。</w:t>
      </w:r>
    </w:p>
    <w:p w14:paraId="5ED32C7A">
      <w:pPr>
        <w:spacing w:before="120" w:after="120" w:line="288" w:lineRule="auto"/>
        <w:ind w:left="0"/>
        <w:jc w:val="left"/>
        <w:rPr>
          <w:rFonts w:ascii="Times New Roman" w:hAnsi="Times New Roman" w:eastAsia="宋体"/>
        </w:rPr>
      </w:pPr>
      <w:r>
        <w:rPr>
          <w:rFonts w:ascii="Times New Roman" w:hAnsi="Times New Roman" w:eastAsia="宋体" w:cs="Arial"/>
          <w:sz w:val="22"/>
        </w:rPr>
        <w:t>2. 实践：高新园区多发知识产权、股权纠纷；商贸区多发劳动仲裁、合同诈骗；高端服务区则是金融监管与合规风险的高地。检察机关可以根据区域产业属性，精准推送“企业合规”或“劳动法”专题普法。</w:t>
      </w:r>
    </w:p>
    <w:p w14:paraId="7D49A6EB">
      <w:pPr>
        <w:spacing w:before="300" w:after="120" w:line="288" w:lineRule="auto"/>
        <w:ind w:left="0"/>
        <w:jc w:val="left"/>
        <w:outlineLvl w:val="2"/>
        <w:rPr>
          <w:rFonts w:ascii="Times New Roman" w:hAnsi="Times New Roman" w:eastAsia="宋体"/>
        </w:rPr>
      </w:pPr>
      <w:bookmarkStart w:id="52" w:name="heading_52"/>
      <w:r>
        <w:rPr>
          <w:rFonts w:ascii="Times New Roman" w:hAnsi="Times New Roman" w:eastAsia="宋体" w:cs="Arial"/>
          <w:b/>
          <w:sz w:val="30"/>
        </w:rPr>
        <w:t>4. 可参考文献</w:t>
      </w:r>
      <w:bookmarkEnd w:id="52"/>
    </w:p>
    <w:p w14:paraId="17157A4E">
      <w:pPr>
        <w:spacing w:before="120" w:after="120" w:line="288" w:lineRule="auto"/>
        <w:ind w:left="0"/>
        <w:jc w:val="left"/>
        <w:rPr>
          <w:rFonts w:ascii="Times New Roman" w:hAnsi="Times New Roman" w:eastAsia="宋体"/>
        </w:rPr>
      </w:pPr>
      <w:r>
        <w:rPr>
          <w:rFonts w:ascii="Times New Roman" w:hAnsi="Times New Roman" w:eastAsia="宋体" w:cs="Arial"/>
          <w:sz w:val="22"/>
        </w:rPr>
        <w:t>1.《大数据背景下城市社区法治风险的精准防控研究》——探讨如何利用多源数据进行风险建模，支持“精准普法”的逻辑构建。</w:t>
      </w:r>
    </w:p>
    <w:p w14:paraId="6B845B14">
      <w:pPr>
        <w:spacing w:before="120" w:after="120" w:line="288" w:lineRule="auto"/>
        <w:ind w:left="0"/>
        <w:jc w:val="left"/>
        <w:rPr>
          <w:rFonts w:ascii="Times New Roman" w:hAnsi="Times New Roman" w:eastAsia="宋体"/>
        </w:rPr>
      </w:pPr>
      <w:r>
        <w:rPr>
          <w:rFonts w:ascii="Times New Roman" w:hAnsi="Times New Roman" w:eastAsia="宋体" w:cs="Arial"/>
          <w:sz w:val="22"/>
        </w:rPr>
        <w:t>9.Brantingham, P. J., &amp; Brantingham, P. L. "Environmental Criminology."——从环境犯罪学角度解释商业综合体与居住区在法治风险上的本质差异。</w:t>
      </w:r>
    </w:p>
    <w:p w14:paraId="11BEAAAE">
      <w:pPr>
        <w:spacing w:before="120" w:after="120" w:line="288" w:lineRule="auto"/>
        <w:ind w:left="0"/>
        <w:jc w:val="left"/>
        <w:rPr>
          <w:rFonts w:ascii="Times New Roman" w:hAnsi="Times New Roman" w:eastAsia="宋体"/>
        </w:rPr>
      </w:pPr>
      <w:r>
        <w:rPr>
          <w:rFonts w:ascii="Times New Roman" w:hAnsi="Times New Roman" w:eastAsia="宋体" w:cs="Arial"/>
          <w:sz w:val="22"/>
        </w:rPr>
        <w:t>1. 理论：犯罪类型学（Crime Typology）。研究表明，产业生态决定了法律风险的“品种”。</w:t>
      </w:r>
    </w:p>
    <w:p w14:paraId="529561AD">
      <w:pPr>
        <w:spacing w:before="120" w:after="120" w:line="288" w:lineRule="auto"/>
        <w:ind w:left="0"/>
        <w:jc w:val="left"/>
        <w:rPr>
          <w:rFonts w:ascii="Times New Roman" w:hAnsi="Times New Roman" w:eastAsia="宋体"/>
        </w:rPr>
      </w:pPr>
      <w:r>
        <w:rPr>
          <w:rFonts w:ascii="Times New Roman" w:hAnsi="Times New Roman" w:eastAsia="宋体" w:cs="Arial"/>
          <w:sz w:val="22"/>
        </w:rPr>
        <w:t>2. 实践：高新园区多发知识产权、股权纠纷；商贸区多发劳动仲裁、合同诈骗；高端服务区则是金融监管与合规风险的高地。检察机关可以根据区域产业属性，精准推送“企业合规”或“劳动法”专题普法。</w:t>
      </w:r>
    </w:p>
    <w:p w14:paraId="53D1AF1A">
      <w:pPr>
        <w:spacing w:before="320" w:after="120" w:line="288" w:lineRule="auto"/>
        <w:ind w:left="0"/>
        <w:jc w:val="left"/>
        <w:outlineLvl w:val="1"/>
        <w:rPr>
          <w:rFonts w:ascii="Times New Roman" w:hAnsi="Times New Roman" w:eastAsia="宋体"/>
        </w:rPr>
      </w:pPr>
      <w:bookmarkStart w:id="53" w:name="heading_53"/>
      <w:r>
        <w:rPr>
          <w:rFonts w:ascii="Times New Roman" w:hAnsi="Times New Roman" w:eastAsia="宋体" w:cs="Arial"/>
          <w:b/>
          <w:sz w:val="32"/>
        </w:rPr>
        <w:t>（十）方案十：按数字化程度维度分类</w:t>
      </w:r>
      <w:bookmarkEnd w:id="53"/>
    </w:p>
    <w:p w14:paraId="5D1818DA">
      <w:pPr>
        <w:spacing w:before="300" w:after="120" w:line="288" w:lineRule="auto"/>
        <w:ind w:left="0"/>
        <w:jc w:val="left"/>
        <w:outlineLvl w:val="2"/>
        <w:rPr>
          <w:rFonts w:ascii="Times New Roman" w:hAnsi="Times New Roman" w:eastAsia="宋体"/>
        </w:rPr>
      </w:pPr>
      <w:bookmarkStart w:id="54" w:name="heading_54"/>
      <w:r>
        <w:rPr>
          <w:rFonts w:ascii="Times New Roman" w:hAnsi="Times New Roman" w:eastAsia="宋体" w:cs="Arial"/>
          <w:b/>
          <w:sz w:val="30"/>
        </w:rPr>
        <w:t>1. 分类定位</w:t>
      </w:r>
      <w:bookmarkEnd w:id="54"/>
    </w:p>
    <w:p w14:paraId="46897B26">
      <w:pPr>
        <w:spacing w:before="120" w:after="120" w:line="288" w:lineRule="auto"/>
        <w:ind w:left="0"/>
        <w:jc w:val="left"/>
        <w:rPr>
          <w:rFonts w:ascii="Times New Roman" w:hAnsi="Times New Roman" w:eastAsia="宋体"/>
        </w:rPr>
      </w:pPr>
      <w:r>
        <w:rPr>
          <w:rFonts w:ascii="Times New Roman" w:hAnsi="Times New Roman" w:eastAsia="宋体" w:cs="Arial"/>
          <w:sz w:val="22"/>
        </w:rPr>
        <w:t>基于数字鸿沟理论，以区域数字化普及程度、居民线上行为习惯为分类依据，适配线上线下差异化法治服务模式。</w:t>
      </w:r>
    </w:p>
    <w:p w14:paraId="07AC3FC4">
      <w:pPr>
        <w:spacing w:before="300" w:after="120" w:line="288" w:lineRule="auto"/>
        <w:ind w:left="0"/>
        <w:jc w:val="left"/>
        <w:outlineLvl w:val="2"/>
        <w:rPr>
          <w:rFonts w:ascii="Times New Roman" w:hAnsi="Times New Roman" w:eastAsia="宋体"/>
        </w:rPr>
      </w:pPr>
      <w:bookmarkStart w:id="55" w:name="heading_55"/>
      <w:r>
        <w:rPr>
          <w:rFonts w:ascii="Times New Roman" w:hAnsi="Times New Roman" w:eastAsia="宋体" w:cs="Arial"/>
          <w:b/>
          <w:sz w:val="30"/>
        </w:rPr>
        <w:t>2. 分类细项</w:t>
      </w:r>
      <w:bookmarkEnd w:id="55"/>
    </w:p>
    <w:p w14:paraId="111A9C13">
      <w:pPr>
        <w:spacing w:before="120" w:after="120" w:line="288" w:lineRule="auto"/>
        <w:ind w:left="0"/>
        <w:jc w:val="left"/>
        <w:rPr>
          <w:rFonts w:ascii="Times New Roman" w:hAnsi="Times New Roman" w:eastAsia="宋体"/>
        </w:rPr>
      </w:pPr>
      <w:r>
        <w:rPr>
          <w:rFonts w:ascii="Times New Roman" w:hAnsi="Times New Roman" w:eastAsia="宋体" w:cs="Arial"/>
          <w:sz w:val="22"/>
        </w:rPr>
        <w:t>1. 数字原生社区：智能家居普及率高、居民习惯线上沟通的新兴社区。</w:t>
      </w:r>
    </w:p>
    <w:p w14:paraId="4F43CBCB">
      <w:pPr>
        <w:spacing w:before="120" w:after="120" w:line="288" w:lineRule="auto"/>
        <w:ind w:left="0"/>
        <w:jc w:val="left"/>
        <w:rPr>
          <w:rFonts w:ascii="Times New Roman" w:hAnsi="Times New Roman" w:eastAsia="宋体"/>
        </w:rPr>
      </w:pPr>
      <w:r>
        <w:rPr>
          <w:rFonts w:ascii="Times New Roman" w:hAnsi="Times New Roman" w:eastAsia="宋体" w:cs="Arial"/>
          <w:sz w:val="22"/>
        </w:rPr>
        <w:t>2. 数字迟滞社区：适老化严重、依赖线下通知、移动支付覆盖率相对较低的区域。</w:t>
      </w:r>
    </w:p>
    <w:p w14:paraId="30DC8F25">
      <w:pPr>
        <w:spacing w:before="300" w:after="120" w:line="288" w:lineRule="auto"/>
        <w:ind w:left="0"/>
        <w:jc w:val="left"/>
        <w:outlineLvl w:val="2"/>
        <w:rPr>
          <w:rFonts w:ascii="Times New Roman" w:hAnsi="Times New Roman" w:eastAsia="宋体"/>
        </w:rPr>
      </w:pPr>
      <w:bookmarkStart w:id="56" w:name="heading_56"/>
      <w:r>
        <w:rPr>
          <w:rFonts w:ascii="Times New Roman" w:hAnsi="Times New Roman" w:eastAsia="宋体" w:cs="Arial"/>
          <w:b/>
          <w:sz w:val="30"/>
        </w:rPr>
        <w:t>3. 理由与研究经验</w:t>
      </w:r>
      <w:bookmarkEnd w:id="56"/>
    </w:p>
    <w:p w14:paraId="525274D5">
      <w:pPr>
        <w:spacing w:before="120" w:after="120" w:line="288" w:lineRule="auto"/>
        <w:ind w:left="0"/>
        <w:jc w:val="left"/>
        <w:rPr>
          <w:rFonts w:ascii="Times New Roman" w:hAnsi="Times New Roman" w:eastAsia="宋体"/>
        </w:rPr>
      </w:pPr>
      <w:r>
        <w:rPr>
          <w:rFonts w:ascii="Times New Roman" w:hAnsi="Times New Roman" w:eastAsia="宋体" w:cs="Arial"/>
          <w:sz w:val="22"/>
        </w:rPr>
        <w:t>1. 理论：数字鸿沟理论（Digital Divide）。</w:t>
      </w:r>
    </w:p>
    <w:p w14:paraId="502D8300">
      <w:pPr>
        <w:spacing w:before="120" w:after="120" w:line="288" w:lineRule="auto"/>
        <w:ind w:left="0"/>
        <w:jc w:val="left"/>
        <w:rPr>
          <w:rFonts w:ascii="Times New Roman" w:hAnsi="Times New Roman" w:eastAsia="宋体"/>
        </w:rPr>
      </w:pPr>
      <w:r>
        <w:rPr>
          <w:rFonts w:ascii="Times New Roman" w:hAnsi="Times New Roman" w:eastAsia="宋体" w:cs="Arial"/>
          <w:sz w:val="22"/>
        </w:rPr>
        <w:t>2. 实践：针对“数字原生社区”，预警重点应放在电信网络诈骗、个人信息保护；针对“数字迟滞社区”，则应侧重于线下调解、养老诈骗等传统民生法治保障。</w:t>
      </w:r>
    </w:p>
    <w:p w14:paraId="4CADD67B">
      <w:pPr>
        <w:spacing w:before="300" w:after="120" w:line="288" w:lineRule="auto"/>
        <w:ind w:left="0"/>
        <w:jc w:val="left"/>
        <w:outlineLvl w:val="2"/>
        <w:rPr>
          <w:rFonts w:ascii="Times New Roman" w:hAnsi="Times New Roman" w:eastAsia="宋体"/>
        </w:rPr>
      </w:pPr>
      <w:bookmarkStart w:id="57" w:name="heading_57"/>
      <w:r>
        <w:rPr>
          <w:rFonts w:ascii="Times New Roman" w:hAnsi="Times New Roman" w:eastAsia="宋体" w:cs="Arial"/>
          <w:b/>
          <w:sz w:val="30"/>
        </w:rPr>
        <w:t>4. 可参考文献</w:t>
      </w:r>
      <w:bookmarkEnd w:id="57"/>
    </w:p>
    <w:p w14:paraId="433A48BA">
      <w:pPr>
        <w:spacing w:before="120" w:after="120" w:line="288" w:lineRule="auto"/>
        <w:ind w:left="0"/>
        <w:jc w:val="left"/>
        <w:rPr>
          <w:rFonts w:ascii="Times New Roman" w:hAnsi="Times New Roman" w:eastAsia="宋体"/>
        </w:rPr>
      </w:pPr>
      <w:r>
        <w:rPr>
          <w:rFonts w:ascii="Times New Roman" w:hAnsi="Times New Roman" w:eastAsia="宋体" w:cs="Arial"/>
          <w:sz w:val="22"/>
        </w:rPr>
        <w:t>1.《大数据背景下城市社区法治风险的精准防控研究》——探讨如何利用多源数据进行风险建模，支持“精准普法”的逻辑构建。</w:t>
      </w:r>
    </w:p>
    <w:p w14:paraId="4FD486E0">
      <w:pPr>
        <w:spacing w:before="120" w:after="120" w:line="288" w:lineRule="auto"/>
        <w:ind w:left="0"/>
        <w:jc w:val="left"/>
        <w:rPr>
          <w:rFonts w:ascii="Times New Roman" w:hAnsi="Times New Roman" w:eastAsia="宋体"/>
        </w:rPr>
      </w:pPr>
      <w:r>
        <w:rPr>
          <w:rFonts w:ascii="Times New Roman" w:hAnsi="Times New Roman" w:eastAsia="宋体" w:cs="Arial"/>
          <w:sz w:val="22"/>
        </w:rPr>
        <w:t>6.《数字检察背景下大数据法律监督模型构建研究》(最高检相关课题)——探讨如何将法律监督业务逻辑嵌入到不同类别的社会单元中。</w:t>
      </w:r>
    </w:p>
    <w:p w14:paraId="4C6C3E79">
      <w:pPr>
        <w:spacing w:before="120" w:after="120" w:line="288" w:lineRule="auto"/>
        <w:ind w:left="0"/>
        <w:jc w:val="left"/>
        <w:rPr>
          <w:rFonts w:ascii="Times New Roman" w:hAnsi="Times New Roman" w:eastAsia="宋体"/>
        </w:rPr>
      </w:pPr>
      <w:r>
        <w:rPr>
          <w:rFonts w:ascii="Times New Roman" w:hAnsi="Times New Roman" w:eastAsia="宋体" w:cs="Arial"/>
          <w:sz w:val="22"/>
        </w:rPr>
        <w:t>1. 理论：数字鸿沟理论（Digital Divide）。</w:t>
      </w:r>
    </w:p>
    <w:p w14:paraId="6BB8B3A9">
      <w:pPr>
        <w:spacing w:before="120" w:after="120" w:line="288" w:lineRule="auto"/>
        <w:ind w:left="0"/>
        <w:jc w:val="left"/>
        <w:rPr>
          <w:rFonts w:ascii="Times New Roman" w:hAnsi="Times New Roman" w:eastAsia="宋体"/>
        </w:rPr>
      </w:pPr>
      <w:r>
        <w:rPr>
          <w:rFonts w:ascii="Times New Roman" w:hAnsi="Times New Roman" w:eastAsia="宋体" w:cs="Arial"/>
          <w:sz w:val="22"/>
        </w:rPr>
        <w:t>2. 实践：针对“数字原生社区”，预警重点应放在电信网络诈骗、个人信息保护；针对“数字迟滞社区”，则应侧重于线下调解、养老诈骗等传统民生法治保障。</w:t>
      </w:r>
    </w:p>
    <w:p w14:paraId="4E9559D3">
      <w:pPr>
        <w:spacing w:before="380" w:after="140" w:line="288" w:lineRule="auto"/>
        <w:ind w:left="0"/>
        <w:jc w:val="left"/>
        <w:outlineLvl w:val="0"/>
        <w:rPr>
          <w:rFonts w:ascii="Times New Roman" w:hAnsi="Times New Roman" w:eastAsia="宋体"/>
        </w:rPr>
      </w:pPr>
      <w:bookmarkStart w:id="58" w:name="heading_63"/>
      <w:r>
        <w:rPr>
          <w:rFonts w:ascii="Times New Roman" w:hAnsi="Times New Roman" w:eastAsia="宋体" w:cs="Arial"/>
          <w:b/>
          <w:sz w:val="36"/>
        </w:rPr>
        <w:t>二、问题</w:t>
      </w:r>
      <w:bookmarkEnd w:id="58"/>
    </w:p>
    <w:p w14:paraId="3324C766">
      <w:pPr>
        <w:spacing w:before="120" w:after="120" w:line="288" w:lineRule="auto"/>
        <w:ind w:left="0"/>
        <w:jc w:val="left"/>
        <w:rPr>
          <w:rFonts w:ascii="Times New Roman" w:hAnsi="Times New Roman" w:eastAsia="宋体"/>
        </w:rPr>
      </w:pPr>
      <w:r>
        <w:rPr>
          <w:rFonts w:ascii="Times New Roman" w:hAnsi="Times New Roman" w:eastAsia="宋体" w:cs="Arial"/>
          <w:sz w:val="22"/>
        </w:rPr>
        <w:t>如果敲定分类方法，后续的具体分区如何确定？是我们自己搜集相关文献进行划分还是由法院/政府提供相关标准？——如果自己划分，怎么划O-O</w:t>
      </w:r>
    </w:p>
    <w:p w14:paraId="2416B2F5">
      <w:pPr>
        <w:spacing w:before="120" w:after="120" w:line="288" w:lineRule="auto"/>
        <w:ind w:left="0"/>
        <w:jc w:val="left"/>
        <w:rPr>
          <w:rFonts w:ascii="Times New Roman" w:hAnsi="Times New Roman" w:eastAsia="宋体"/>
        </w:rPr>
      </w:pPr>
      <w:r>
        <w:rPr>
          <w:rFonts w:ascii="Times New Roman" w:hAnsi="Times New Roman" w:eastAsia="宋体" w:cs="Arial"/>
          <w:sz w:val="22"/>
        </w:rPr>
        <w:t>根据相关文献的推荐，可以考虑引入动态权重因子。例如，某一区域在工作日白天被标记为“高强度商务社区”，而在夜晚则表现为“低密度看守区域”，maybe这种基于时间的维度切换能让我们平台比单纯的静态地图更具技术领先性 。</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19C1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1296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603652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6801</Words>
  <Characters>8035</Characters>
  <TotalTime>0</TotalTime>
  <ScaleCrop>false</ScaleCrop>
  <LinksUpToDate>false</LinksUpToDate>
  <CharactersWithSpaces>8355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2026-04-14T17:53:00Z</dcterms:created>
  <dc:creator>Apache POI</dc:creator>
  <cp:lastModifiedBy>崔馨月</cp:lastModifiedBy>
  <dcterms:modified xsi:type="dcterms:W3CDTF">2026-04-14T17:57:25Z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eyJoZGlkIjoiZGUzMmJmNzkxNTM5OTk2NmIxMDIyOTlhNmRmMzQ0NjIiLCJ1c2VySWQiOiIxNjI2MTUyNTY2In0=</vt:lpwstr>
  </property>
  <property fmtid="{D5CDD505-2E9C-101B-9397-08002B2CF9AE}" pid="3" name="KSOProductBuildVer">
    <vt:lpwstr>2052-12.1.0.24034</vt:lpwstr>
  </property>
  <property fmtid="{D5CDD505-2E9C-101B-9397-08002B2CF9AE}" pid="4" name="ICV">
    <vt:lpwstr>CC5AF57C71E94BE58C6A1F610999DF86_12</vt:lpwstr>
  </property>
</Properties>
</file>