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79"/>
        <w:gridCol w:w="2181"/>
        <w:gridCol w:w="5636"/>
      </w:tblGrid>
      <w:tr w:rsidR="001306C5" w:rsidRPr="001306C5" w14:paraId="60304D12" w14:textId="77777777" w:rsidTr="001306C5">
        <w:tc>
          <w:tcPr>
            <w:tcW w:w="0" w:type="auto"/>
            <w:hideMark/>
          </w:tcPr>
          <w:p w14:paraId="212DA845" w14:textId="77777777" w:rsidR="001306C5" w:rsidRPr="001306C5" w:rsidRDefault="001306C5" w:rsidP="001306C5">
            <w:pPr>
              <w:spacing w:after="160" w:line="278" w:lineRule="auto"/>
              <w:rPr>
                <w:rFonts w:ascii="標楷體-繁" w:eastAsia="標楷體-繁" w:hAnsi="標楷體-繁"/>
                <w:b/>
                <w:bCs/>
                <w:sz w:val="20"/>
                <w:szCs w:val="20"/>
              </w:rPr>
            </w:pPr>
            <w:r w:rsidRPr="001306C5">
              <w:rPr>
                <w:rFonts w:ascii="標楷體-繁" w:eastAsia="標楷體-繁" w:hAnsi="標楷體-繁"/>
                <w:b/>
                <w:bCs/>
                <w:sz w:val="20"/>
                <w:szCs w:val="20"/>
              </w:rPr>
              <w:t>編號</w:t>
            </w:r>
          </w:p>
        </w:tc>
        <w:tc>
          <w:tcPr>
            <w:tcW w:w="0" w:type="auto"/>
            <w:hideMark/>
          </w:tcPr>
          <w:p w14:paraId="6F9D2319" w14:textId="77777777" w:rsidR="001306C5" w:rsidRPr="001306C5" w:rsidRDefault="001306C5" w:rsidP="001306C5">
            <w:pPr>
              <w:spacing w:after="160" w:line="278" w:lineRule="auto"/>
              <w:rPr>
                <w:rFonts w:ascii="標楷體-繁" w:eastAsia="標楷體-繁" w:hAnsi="標楷體-繁"/>
                <w:b/>
                <w:bCs/>
                <w:sz w:val="20"/>
                <w:szCs w:val="20"/>
              </w:rPr>
            </w:pPr>
            <w:r w:rsidRPr="001306C5">
              <w:rPr>
                <w:rFonts w:ascii="標楷體-繁" w:eastAsia="標楷體-繁" w:hAnsi="標楷體-繁"/>
                <w:b/>
                <w:bCs/>
                <w:sz w:val="20"/>
                <w:szCs w:val="20"/>
              </w:rPr>
              <w:t>原則名稱 (英文)</w:t>
            </w:r>
          </w:p>
        </w:tc>
        <w:tc>
          <w:tcPr>
            <w:tcW w:w="0" w:type="auto"/>
            <w:hideMark/>
          </w:tcPr>
          <w:p w14:paraId="2E5724EC" w14:textId="77777777" w:rsidR="001306C5" w:rsidRPr="001306C5" w:rsidRDefault="001306C5" w:rsidP="001306C5">
            <w:pPr>
              <w:spacing w:after="160" w:line="278" w:lineRule="auto"/>
              <w:rPr>
                <w:rFonts w:ascii="標楷體-繁" w:eastAsia="標楷體-繁" w:hAnsi="標楷體-繁"/>
                <w:b/>
                <w:bCs/>
                <w:sz w:val="20"/>
                <w:szCs w:val="20"/>
              </w:rPr>
            </w:pPr>
            <w:r w:rsidRPr="001306C5">
              <w:rPr>
                <w:rFonts w:ascii="標楷體-繁" w:eastAsia="標楷體-繁" w:hAnsi="標楷體-繁"/>
                <w:b/>
                <w:bCs/>
                <w:sz w:val="20"/>
                <w:szCs w:val="20"/>
              </w:rPr>
              <w:t>主要概念與重點說明</w:t>
            </w:r>
          </w:p>
        </w:tc>
      </w:tr>
      <w:tr w:rsidR="001306C5" w:rsidRPr="001306C5" w14:paraId="3A791A39" w14:textId="77777777" w:rsidTr="001306C5">
        <w:tc>
          <w:tcPr>
            <w:tcW w:w="0" w:type="auto"/>
            <w:hideMark/>
          </w:tcPr>
          <w:p w14:paraId="3809957D" w14:textId="77777777" w:rsidR="001306C5" w:rsidRPr="001306C5" w:rsidRDefault="001306C5" w:rsidP="001306C5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1306C5">
              <w:rPr>
                <w:rFonts w:ascii="標楷體-繁" w:eastAsia="標楷體-繁" w:hAnsi="標楷體-繁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62B8B01A" w14:textId="77777777" w:rsidR="001306C5" w:rsidRPr="001306C5" w:rsidRDefault="001306C5" w:rsidP="001306C5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1306C5">
              <w:rPr>
                <w:rFonts w:ascii="標楷體-繁" w:eastAsia="標楷體-繁" w:hAnsi="標楷體-繁"/>
                <w:b/>
                <w:bCs/>
                <w:sz w:val="20"/>
                <w:szCs w:val="20"/>
              </w:rPr>
              <w:t>SRP – Single Responsibility Principle</w:t>
            </w:r>
          </w:p>
        </w:tc>
        <w:tc>
          <w:tcPr>
            <w:tcW w:w="0" w:type="auto"/>
            <w:hideMark/>
          </w:tcPr>
          <w:p w14:paraId="1E9AFA18" w14:textId="77777777" w:rsidR="001306C5" w:rsidRPr="001306C5" w:rsidRDefault="001306C5" w:rsidP="001306C5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1306C5">
              <w:rPr>
                <w:rFonts w:ascii="標楷體-繁" w:eastAsia="標楷體-繁" w:hAnsi="標楷體-繁"/>
                <w:sz w:val="20"/>
                <w:szCs w:val="20"/>
              </w:rPr>
              <w:t>一個類別應該只有一個變動的原因（對應一個 actor）；維持高內聚、低耦合。簡報補充了兩種判定方法：①結構內聚法 (LCOM4)；②語意結合法 (Class name + Method name)。</w:t>
            </w:r>
          </w:p>
        </w:tc>
      </w:tr>
      <w:tr w:rsidR="001306C5" w:rsidRPr="001306C5" w14:paraId="2C79C741" w14:textId="77777777" w:rsidTr="001306C5">
        <w:tc>
          <w:tcPr>
            <w:tcW w:w="0" w:type="auto"/>
            <w:hideMark/>
          </w:tcPr>
          <w:p w14:paraId="52EFDCB0" w14:textId="77777777" w:rsidR="001306C5" w:rsidRPr="001306C5" w:rsidRDefault="001306C5" w:rsidP="001306C5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1306C5">
              <w:rPr>
                <w:rFonts w:ascii="標楷體-繁" w:eastAsia="標楷體-繁" w:hAnsi="標楷體-繁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56F23FED" w14:textId="77777777" w:rsidR="001306C5" w:rsidRPr="001306C5" w:rsidRDefault="001306C5" w:rsidP="001306C5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1306C5">
              <w:rPr>
                <w:rFonts w:ascii="標楷體-繁" w:eastAsia="標楷體-繁" w:hAnsi="標楷體-繁"/>
                <w:b/>
                <w:bCs/>
                <w:sz w:val="20"/>
                <w:szCs w:val="20"/>
              </w:rPr>
              <w:t>OCP – Open-Closed Principle</w:t>
            </w:r>
          </w:p>
        </w:tc>
        <w:tc>
          <w:tcPr>
            <w:tcW w:w="0" w:type="auto"/>
            <w:hideMark/>
          </w:tcPr>
          <w:p w14:paraId="484F7CF6" w14:textId="77777777" w:rsidR="001306C5" w:rsidRPr="001306C5" w:rsidRDefault="001306C5" w:rsidP="001306C5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1306C5">
              <w:rPr>
                <w:rFonts w:ascii="標楷體-繁" w:eastAsia="標楷體-繁" w:hAnsi="標楷體-繁"/>
                <w:sz w:val="20"/>
                <w:szCs w:val="20"/>
              </w:rPr>
              <w:t>模組應「對擴充開放，對修改封閉」。透過介面與抽象層避免在新增功能時修改原有程式。範例是天氣播報系統。</w:t>
            </w:r>
          </w:p>
        </w:tc>
      </w:tr>
      <w:tr w:rsidR="001306C5" w:rsidRPr="001306C5" w14:paraId="5E08B604" w14:textId="77777777" w:rsidTr="001306C5">
        <w:tc>
          <w:tcPr>
            <w:tcW w:w="0" w:type="auto"/>
            <w:hideMark/>
          </w:tcPr>
          <w:p w14:paraId="56DDD2F1" w14:textId="77777777" w:rsidR="001306C5" w:rsidRPr="001306C5" w:rsidRDefault="001306C5" w:rsidP="001306C5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1306C5">
              <w:rPr>
                <w:rFonts w:ascii="標楷體-繁" w:eastAsia="標楷體-繁" w:hAnsi="標楷體-繁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16F24896" w14:textId="77777777" w:rsidR="001306C5" w:rsidRPr="001306C5" w:rsidRDefault="001306C5" w:rsidP="001306C5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1306C5">
              <w:rPr>
                <w:rFonts w:ascii="標楷體-繁" w:eastAsia="標楷體-繁" w:hAnsi="標楷體-繁"/>
                <w:b/>
                <w:bCs/>
                <w:sz w:val="20"/>
                <w:szCs w:val="20"/>
              </w:rPr>
              <w:t xml:space="preserve">LSP – </w:t>
            </w:r>
            <w:proofErr w:type="spellStart"/>
            <w:r w:rsidRPr="001306C5">
              <w:rPr>
                <w:rFonts w:ascii="標楷體-繁" w:eastAsia="標楷體-繁" w:hAnsi="標楷體-繁"/>
                <w:b/>
                <w:bCs/>
                <w:sz w:val="20"/>
                <w:szCs w:val="20"/>
              </w:rPr>
              <w:t>Liskov</w:t>
            </w:r>
            <w:proofErr w:type="spellEnd"/>
            <w:r w:rsidRPr="001306C5">
              <w:rPr>
                <w:rFonts w:ascii="標楷體-繁" w:eastAsia="標楷體-繁" w:hAnsi="標楷體-繁"/>
                <w:b/>
                <w:bCs/>
                <w:sz w:val="20"/>
                <w:szCs w:val="20"/>
              </w:rPr>
              <w:t xml:space="preserve"> Substitution Principle</w:t>
            </w:r>
          </w:p>
        </w:tc>
        <w:tc>
          <w:tcPr>
            <w:tcW w:w="0" w:type="auto"/>
            <w:hideMark/>
          </w:tcPr>
          <w:p w14:paraId="4C546DE5" w14:textId="77777777" w:rsidR="001306C5" w:rsidRPr="001306C5" w:rsidRDefault="001306C5" w:rsidP="001306C5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1306C5">
              <w:rPr>
                <w:rFonts w:ascii="標楷體-繁" w:eastAsia="標楷體-繁" w:hAnsi="標楷體-繁"/>
                <w:sz w:val="20"/>
                <w:szCs w:val="20"/>
              </w:rPr>
              <w:t>子類別應可完全取代父類別而不影響正確性。違反例子：Square / Rectangle 問題。</w:t>
            </w:r>
          </w:p>
        </w:tc>
      </w:tr>
      <w:tr w:rsidR="001306C5" w:rsidRPr="001306C5" w14:paraId="3E2F50C7" w14:textId="77777777" w:rsidTr="001306C5">
        <w:tc>
          <w:tcPr>
            <w:tcW w:w="0" w:type="auto"/>
            <w:hideMark/>
          </w:tcPr>
          <w:p w14:paraId="0F3BB0C4" w14:textId="77777777" w:rsidR="001306C5" w:rsidRPr="001306C5" w:rsidRDefault="001306C5" w:rsidP="001306C5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1306C5">
              <w:rPr>
                <w:rFonts w:ascii="標楷體-繁" w:eastAsia="標楷體-繁" w:hAnsi="標楷體-繁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7FF90599" w14:textId="77777777" w:rsidR="001306C5" w:rsidRPr="001306C5" w:rsidRDefault="001306C5" w:rsidP="001306C5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1306C5">
              <w:rPr>
                <w:rFonts w:ascii="標楷體-繁" w:eastAsia="標楷體-繁" w:hAnsi="標楷體-繁"/>
                <w:b/>
                <w:bCs/>
                <w:sz w:val="20"/>
                <w:szCs w:val="20"/>
              </w:rPr>
              <w:t>ISP – Interface Segregation Principle</w:t>
            </w:r>
          </w:p>
        </w:tc>
        <w:tc>
          <w:tcPr>
            <w:tcW w:w="0" w:type="auto"/>
            <w:hideMark/>
          </w:tcPr>
          <w:p w14:paraId="59DE3F4D" w14:textId="77777777" w:rsidR="001306C5" w:rsidRPr="001306C5" w:rsidRDefault="001306C5" w:rsidP="001306C5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1306C5">
              <w:rPr>
                <w:rFonts w:ascii="標楷體-繁" w:eastAsia="標楷體-繁" w:hAnsi="標楷體-繁"/>
                <w:sz w:val="20"/>
                <w:szCs w:val="20"/>
              </w:rPr>
              <w:t>不應強迫用戶依賴其不使用的功能；應拆分大型介面為多個小介面，減少重編譯與依賴。</w:t>
            </w:r>
          </w:p>
        </w:tc>
      </w:tr>
      <w:tr w:rsidR="001306C5" w:rsidRPr="001306C5" w14:paraId="35A20620" w14:textId="77777777" w:rsidTr="001306C5">
        <w:tc>
          <w:tcPr>
            <w:tcW w:w="0" w:type="auto"/>
            <w:hideMark/>
          </w:tcPr>
          <w:p w14:paraId="383ABA09" w14:textId="77777777" w:rsidR="001306C5" w:rsidRPr="001306C5" w:rsidRDefault="001306C5" w:rsidP="001306C5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1306C5">
              <w:rPr>
                <w:rFonts w:ascii="標楷體-繁" w:eastAsia="標楷體-繁" w:hAnsi="標楷體-繁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3FFFB9A5" w14:textId="77777777" w:rsidR="001306C5" w:rsidRPr="001306C5" w:rsidRDefault="001306C5" w:rsidP="001306C5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1306C5">
              <w:rPr>
                <w:rFonts w:ascii="標楷體-繁" w:eastAsia="標楷體-繁" w:hAnsi="標楷體-繁"/>
                <w:b/>
                <w:bCs/>
                <w:sz w:val="20"/>
                <w:szCs w:val="20"/>
              </w:rPr>
              <w:t>DIP – Dependency Inversion Principle</w:t>
            </w:r>
          </w:p>
        </w:tc>
        <w:tc>
          <w:tcPr>
            <w:tcW w:w="0" w:type="auto"/>
            <w:hideMark/>
          </w:tcPr>
          <w:p w14:paraId="1DFAB297" w14:textId="77777777" w:rsidR="001306C5" w:rsidRPr="001306C5" w:rsidRDefault="001306C5" w:rsidP="001306C5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1306C5">
              <w:rPr>
                <w:rFonts w:ascii="標楷體-繁" w:eastAsia="標楷體-繁" w:hAnsi="標楷體-繁"/>
                <w:sz w:val="20"/>
                <w:szCs w:val="20"/>
              </w:rPr>
              <w:t xml:space="preserve">高階模組不應依賴低階模組，雙方都應依賴抽象（介面）；例：Company 依賴 </w:t>
            </w:r>
            <w:proofErr w:type="spellStart"/>
            <w:r w:rsidRPr="001306C5">
              <w:rPr>
                <w:rFonts w:ascii="標楷體-繁" w:eastAsia="標楷體-繁" w:hAnsi="標楷體-繁"/>
                <w:sz w:val="20"/>
                <w:szCs w:val="20"/>
              </w:rPr>
              <w:t>IWorker</w:t>
            </w:r>
            <w:proofErr w:type="spellEnd"/>
            <w:r w:rsidRPr="001306C5">
              <w:rPr>
                <w:rFonts w:ascii="標楷體-繁" w:eastAsia="標楷體-繁" w:hAnsi="標楷體-繁"/>
                <w:sz w:val="20"/>
                <w:szCs w:val="20"/>
              </w:rPr>
              <w:t xml:space="preserve"> 而非具體 Worker。</w:t>
            </w:r>
          </w:p>
        </w:tc>
      </w:tr>
      <w:tr w:rsidR="001306C5" w:rsidRPr="001306C5" w14:paraId="576C03F7" w14:textId="77777777" w:rsidTr="001306C5">
        <w:tc>
          <w:tcPr>
            <w:tcW w:w="0" w:type="auto"/>
            <w:hideMark/>
          </w:tcPr>
          <w:p w14:paraId="23D1C71A" w14:textId="77777777" w:rsidR="001306C5" w:rsidRPr="001306C5" w:rsidRDefault="001306C5" w:rsidP="001306C5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1306C5">
              <w:rPr>
                <w:rFonts w:ascii="標楷體-繁" w:eastAsia="標楷體-繁" w:hAnsi="標楷體-繁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41D0033E" w14:textId="77777777" w:rsidR="001306C5" w:rsidRPr="001306C5" w:rsidRDefault="001306C5" w:rsidP="001306C5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1306C5">
              <w:rPr>
                <w:rFonts w:ascii="標楷體-繁" w:eastAsia="標楷體-繁" w:hAnsi="標楷體-繁"/>
                <w:b/>
                <w:bCs/>
                <w:sz w:val="20"/>
                <w:szCs w:val="20"/>
              </w:rPr>
              <w:t>Encapsulate What Varies</w:t>
            </w:r>
          </w:p>
        </w:tc>
        <w:tc>
          <w:tcPr>
            <w:tcW w:w="0" w:type="auto"/>
            <w:hideMark/>
          </w:tcPr>
          <w:p w14:paraId="3560A378" w14:textId="77777777" w:rsidR="001306C5" w:rsidRPr="001306C5" w:rsidRDefault="001306C5" w:rsidP="001306C5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1306C5">
              <w:rPr>
                <w:rFonts w:ascii="標楷體-繁" w:eastAsia="標楷體-繁" w:hAnsi="標楷體-繁"/>
                <w:sz w:val="20"/>
                <w:szCs w:val="20"/>
              </w:rPr>
              <w:t>將易變部分封裝在介面或實作之後，以避免修改影響穩定部分。常用策略模式示例（Compositor）。</w:t>
            </w:r>
          </w:p>
        </w:tc>
      </w:tr>
      <w:tr w:rsidR="001306C5" w:rsidRPr="001306C5" w14:paraId="52D37356" w14:textId="77777777" w:rsidTr="001306C5">
        <w:tc>
          <w:tcPr>
            <w:tcW w:w="0" w:type="auto"/>
            <w:hideMark/>
          </w:tcPr>
          <w:p w14:paraId="65E0FE9C" w14:textId="77777777" w:rsidR="001306C5" w:rsidRPr="001306C5" w:rsidRDefault="001306C5" w:rsidP="001306C5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1306C5">
              <w:rPr>
                <w:rFonts w:ascii="標楷體-繁" w:eastAsia="標楷體-繁" w:hAnsi="標楷體-繁"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03948563" w14:textId="77777777" w:rsidR="001306C5" w:rsidRPr="001306C5" w:rsidRDefault="001306C5" w:rsidP="001306C5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1306C5">
              <w:rPr>
                <w:rFonts w:ascii="標楷體-繁" w:eastAsia="標楷體-繁" w:hAnsi="標楷體-繁"/>
                <w:b/>
                <w:bCs/>
                <w:sz w:val="20"/>
                <w:szCs w:val="20"/>
              </w:rPr>
              <w:t>Favor Composition Over Inheritance</w:t>
            </w:r>
          </w:p>
        </w:tc>
        <w:tc>
          <w:tcPr>
            <w:tcW w:w="0" w:type="auto"/>
            <w:hideMark/>
          </w:tcPr>
          <w:p w14:paraId="38EC0DA0" w14:textId="77777777" w:rsidR="001306C5" w:rsidRPr="001306C5" w:rsidRDefault="001306C5" w:rsidP="001306C5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1306C5">
              <w:rPr>
                <w:rFonts w:ascii="標楷體-繁" w:eastAsia="標楷體-繁" w:hAnsi="標楷體-繁"/>
                <w:sz w:val="20"/>
                <w:szCs w:val="20"/>
              </w:rPr>
              <w:t>優先使用物件組合而非繼承來達到重用與多型；繼承導致父類修改波及子類，合成更具彈性。</w:t>
            </w:r>
          </w:p>
        </w:tc>
      </w:tr>
      <w:tr w:rsidR="001306C5" w:rsidRPr="001306C5" w14:paraId="34FF77AC" w14:textId="77777777" w:rsidTr="001306C5">
        <w:tc>
          <w:tcPr>
            <w:tcW w:w="0" w:type="auto"/>
            <w:hideMark/>
          </w:tcPr>
          <w:p w14:paraId="14FC9DA2" w14:textId="77777777" w:rsidR="001306C5" w:rsidRPr="001306C5" w:rsidRDefault="001306C5" w:rsidP="001306C5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1306C5">
              <w:rPr>
                <w:rFonts w:ascii="標楷體-繁" w:eastAsia="標楷體-繁" w:hAnsi="標楷體-繁"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3A381F34" w14:textId="77777777" w:rsidR="001306C5" w:rsidRPr="001306C5" w:rsidRDefault="001306C5" w:rsidP="001306C5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1306C5">
              <w:rPr>
                <w:rFonts w:ascii="標楷體-繁" w:eastAsia="標楷體-繁" w:hAnsi="標楷體-繁"/>
                <w:b/>
                <w:bCs/>
                <w:sz w:val="20"/>
                <w:szCs w:val="20"/>
              </w:rPr>
              <w:t>Least Knowledge Principle (Law of Demeter)</w:t>
            </w:r>
          </w:p>
        </w:tc>
        <w:tc>
          <w:tcPr>
            <w:tcW w:w="0" w:type="auto"/>
            <w:hideMark/>
          </w:tcPr>
          <w:p w14:paraId="44420D27" w14:textId="77777777" w:rsidR="001306C5" w:rsidRPr="001306C5" w:rsidRDefault="001306C5" w:rsidP="001306C5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1306C5">
              <w:rPr>
                <w:rFonts w:ascii="標楷體-繁" w:eastAsia="標楷體-繁" w:hAnsi="標楷體-繁"/>
                <w:sz w:val="20"/>
                <w:szCs w:val="20"/>
              </w:rPr>
              <w:t>系統中的類別應盡可能少地知道其他類別，減少耦合；範例：Home Theater 系統以 fa</w:t>
            </w:r>
            <w:r w:rsidRPr="001306C5">
              <w:rPr>
                <w:rFonts w:ascii="Cambria" w:eastAsia="標楷體-繁" w:hAnsi="Cambria" w:cs="Cambria"/>
                <w:sz w:val="20"/>
                <w:szCs w:val="20"/>
              </w:rPr>
              <w:t>ç</w:t>
            </w:r>
            <w:r w:rsidRPr="001306C5">
              <w:rPr>
                <w:rFonts w:ascii="標楷體-繁" w:eastAsia="標楷體-繁" w:hAnsi="標楷體-繁"/>
                <w:sz w:val="20"/>
                <w:szCs w:val="20"/>
              </w:rPr>
              <w:t>ade 模式封裝多物件操作。</w:t>
            </w:r>
          </w:p>
        </w:tc>
      </w:tr>
      <w:tr w:rsidR="001306C5" w:rsidRPr="001306C5" w14:paraId="0945A90C" w14:textId="77777777" w:rsidTr="001306C5">
        <w:tc>
          <w:tcPr>
            <w:tcW w:w="0" w:type="auto"/>
            <w:hideMark/>
          </w:tcPr>
          <w:p w14:paraId="479EC78B" w14:textId="77777777" w:rsidR="001306C5" w:rsidRPr="001306C5" w:rsidRDefault="001306C5" w:rsidP="001306C5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1306C5">
              <w:rPr>
                <w:rFonts w:ascii="標楷體-繁" w:eastAsia="標楷體-繁" w:hAnsi="標楷體-繁"/>
                <w:sz w:val="20"/>
                <w:szCs w:val="20"/>
              </w:rPr>
              <w:t>9</w:t>
            </w:r>
          </w:p>
        </w:tc>
        <w:tc>
          <w:tcPr>
            <w:tcW w:w="0" w:type="auto"/>
            <w:hideMark/>
          </w:tcPr>
          <w:p w14:paraId="3159F2F8" w14:textId="77777777" w:rsidR="001306C5" w:rsidRPr="001306C5" w:rsidRDefault="001306C5" w:rsidP="001306C5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1306C5">
              <w:rPr>
                <w:rFonts w:ascii="標楷體-繁" w:eastAsia="標楷體-繁" w:hAnsi="標楷體-繁"/>
                <w:b/>
                <w:bCs/>
                <w:sz w:val="20"/>
                <w:szCs w:val="20"/>
              </w:rPr>
              <w:t>ADP – Acyclic Dependencies Principle</w:t>
            </w:r>
          </w:p>
        </w:tc>
        <w:tc>
          <w:tcPr>
            <w:tcW w:w="0" w:type="auto"/>
            <w:hideMark/>
          </w:tcPr>
          <w:p w14:paraId="1A56A6B2" w14:textId="77777777" w:rsidR="001306C5" w:rsidRPr="001306C5" w:rsidRDefault="001306C5" w:rsidP="001306C5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1306C5">
              <w:rPr>
                <w:rFonts w:ascii="標楷體-繁" w:eastAsia="標楷體-繁" w:hAnsi="標楷體-繁"/>
                <w:sz w:val="20"/>
                <w:szCs w:val="20"/>
              </w:rPr>
              <w:t>套件或元件之間不應形成依賴循環；可藉由抽取共用部分至新套件來打破環。</w:t>
            </w:r>
          </w:p>
        </w:tc>
      </w:tr>
      <w:tr w:rsidR="001306C5" w:rsidRPr="001306C5" w14:paraId="640ED6B1" w14:textId="77777777" w:rsidTr="001306C5">
        <w:tc>
          <w:tcPr>
            <w:tcW w:w="0" w:type="auto"/>
            <w:hideMark/>
          </w:tcPr>
          <w:p w14:paraId="5072F58B" w14:textId="77777777" w:rsidR="001306C5" w:rsidRPr="001306C5" w:rsidRDefault="001306C5" w:rsidP="001306C5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1306C5">
              <w:rPr>
                <w:rFonts w:ascii="標楷體-繁" w:eastAsia="標楷體-繁" w:hAnsi="標楷體-繁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6542BA93" w14:textId="77777777" w:rsidR="001306C5" w:rsidRPr="001306C5" w:rsidRDefault="001306C5" w:rsidP="001306C5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1306C5">
              <w:rPr>
                <w:rFonts w:ascii="標楷體-繁" w:eastAsia="標楷體-繁" w:hAnsi="標楷體-繁"/>
                <w:b/>
                <w:bCs/>
                <w:sz w:val="20"/>
                <w:szCs w:val="20"/>
              </w:rPr>
              <w:t>DRY – Don’t Repeat Yourself</w:t>
            </w:r>
          </w:p>
        </w:tc>
        <w:tc>
          <w:tcPr>
            <w:tcW w:w="0" w:type="auto"/>
            <w:hideMark/>
          </w:tcPr>
          <w:p w14:paraId="2F0EC100" w14:textId="77777777" w:rsidR="001306C5" w:rsidRPr="001306C5" w:rsidRDefault="001306C5" w:rsidP="001306C5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1306C5">
              <w:rPr>
                <w:rFonts w:ascii="標楷體-繁" w:eastAsia="標楷體-繁" w:hAnsi="標楷體-繁"/>
                <w:sz w:val="20"/>
                <w:szCs w:val="20"/>
              </w:rPr>
              <w:t>每個知識點應有單一權威表述（Single Source of Truth）；避免程式重複，可透過抽象化與重構來消除。</w:t>
            </w:r>
          </w:p>
        </w:tc>
      </w:tr>
      <w:tr w:rsidR="001306C5" w:rsidRPr="001306C5" w14:paraId="0640561E" w14:textId="77777777" w:rsidTr="001306C5">
        <w:tc>
          <w:tcPr>
            <w:tcW w:w="0" w:type="auto"/>
            <w:hideMark/>
          </w:tcPr>
          <w:p w14:paraId="284F3F43" w14:textId="77777777" w:rsidR="001306C5" w:rsidRPr="001306C5" w:rsidRDefault="001306C5" w:rsidP="001306C5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1306C5">
              <w:rPr>
                <w:rFonts w:ascii="標楷體-繁" w:eastAsia="標楷體-繁" w:hAnsi="標楷體-繁"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033AA398" w14:textId="77777777" w:rsidR="001306C5" w:rsidRPr="001306C5" w:rsidRDefault="001306C5" w:rsidP="001306C5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1306C5">
              <w:rPr>
                <w:rFonts w:ascii="標楷體-繁" w:eastAsia="標楷體-繁" w:hAnsi="標楷體-繁"/>
                <w:b/>
                <w:bCs/>
                <w:sz w:val="20"/>
                <w:szCs w:val="20"/>
              </w:rPr>
              <w:t>KISS – Keep It Simple, Stupid</w:t>
            </w:r>
          </w:p>
        </w:tc>
        <w:tc>
          <w:tcPr>
            <w:tcW w:w="0" w:type="auto"/>
            <w:hideMark/>
          </w:tcPr>
          <w:p w14:paraId="28B36BEE" w14:textId="77777777" w:rsidR="001306C5" w:rsidRPr="001306C5" w:rsidRDefault="001306C5" w:rsidP="001306C5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1306C5">
              <w:rPr>
                <w:rFonts w:ascii="標楷體-繁" w:eastAsia="標楷體-繁" w:hAnsi="標楷體-繁"/>
                <w:sz w:val="20"/>
                <w:szCs w:val="20"/>
              </w:rPr>
              <w:t>設計應追求簡潔與可理解，避免過度複雜；簡單系統更易維護、可擴充、且錯誤較少。</w:t>
            </w:r>
          </w:p>
        </w:tc>
      </w:tr>
    </w:tbl>
    <w:p w14:paraId="728C7AA7" w14:textId="77777777" w:rsidR="003C228C" w:rsidRPr="001306C5" w:rsidRDefault="003C228C"/>
    <w:sectPr w:rsidR="003C228C" w:rsidRPr="001306C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標楷體-繁">
    <w:panose1 w:val="03000500000000000000"/>
    <w:charset w:val="88"/>
    <w:family w:val="script"/>
    <w:pitch w:val="variable"/>
    <w:sig w:usb0="800000E3" w:usb1="38CFFD7A" w:usb2="00000016" w:usb3="00000000" w:csb0="0010000D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1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0F1"/>
    <w:rsid w:val="00006C57"/>
    <w:rsid w:val="000416F0"/>
    <w:rsid w:val="000C5A01"/>
    <w:rsid w:val="000C761B"/>
    <w:rsid w:val="0010262D"/>
    <w:rsid w:val="001170D4"/>
    <w:rsid w:val="00121D3E"/>
    <w:rsid w:val="001306C5"/>
    <w:rsid w:val="00134F06"/>
    <w:rsid w:val="0018082A"/>
    <w:rsid w:val="001921FF"/>
    <w:rsid w:val="001A392B"/>
    <w:rsid w:val="001C4F5E"/>
    <w:rsid w:val="00300AEA"/>
    <w:rsid w:val="00306411"/>
    <w:rsid w:val="00307412"/>
    <w:rsid w:val="003207C5"/>
    <w:rsid w:val="00345DA9"/>
    <w:rsid w:val="003C228C"/>
    <w:rsid w:val="003E24AB"/>
    <w:rsid w:val="003E5A84"/>
    <w:rsid w:val="003E719C"/>
    <w:rsid w:val="00400F1D"/>
    <w:rsid w:val="00415212"/>
    <w:rsid w:val="004B26E4"/>
    <w:rsid w:val="004C21F1"/>
    <w:rsid w:val="004C2487"/>
    <w:rsid w:val="004F6A9C"/>
    <w:rsid w:val="00514525"/>
    <w:rsid w:val="005218AC"/>
    <w:rsid w:val="00533A1F"/>
    <w:rsid w:val="00555B82"/>
    <w:rsid w:val="00586050"/>
    <w:rsid w:val="00614A06"/>
    <w:rsid w:val="00665B21"/>
    <w:rsid w:val="0068114E"/>
    <w:rsid w:val="006911C4"/>
    <w:rsid w:val="006A5354"/>
    <w:rsid w:val="006E334E"/>
    <w:rsid w:val="006E5E2D"/>
    <w:rsid w:val="006E6427"/>
    <w:rsid w:val="007147FB"/>
    <w:rsid w:val="007246C9"/>
    <w:rsid w:val="00724D4A"/>
    <w:rsid w:val="0074557B"/>
    <w:rsid w:val="007630AB"/>
    <w:rsid w:val="00783BBF"/>
    <w:rsid w:val="008855A9"/>
    <w:rsid w:val="008D2073"/>
    <w:rsid w:val="008F1658"/>
    <w:rsid w:val="009411D5"/>
    <w:rsid w:val="00945BE7"/>
    <w:rsid w:val="009E62B3"/>
    <w:rsid w:val="00A320F1"/>
    <w:rsid w:val="00A33C2E"/>
    <w:rsid w:val="00A37B8A"/>
    <w:rsid w:val="00A40FA5"/>
    <w:rsid w:val="00A50A3D"/>
    <w:rsid w:val="00A53FB6"/>
    <w:rsid w:val="00A55F0A"/>
    <w:rsid w:val="00AC3AD7"/>
    <w:rsid w:val="00B66BBF"/>
    <w:rsid w:val="00B75721"/>
    <w:rsid w:val="00B75EE3"/>
    <w:rsid w:val="00B80961"/>
    <w:rsid w:val="00B92DC8"/>
    <w:rsid w:val="00BA22C9"/>
    <w:rsid w:val="00BD23A8"/>
    <w:rsid w:val="00BF5753"/>
    <w:rsid w:val="00C20988"/>
    <w:rsid w:val="00D3477F"/>
    <w:rsid w:val="00E071C0"/>
    <w:rsid w:val="00E21A72"/>
    <w:rsid w:val="00EA0A7F"/>
    <w:rsid w:val="00ED387E"/>
    <w:rsid w:val="00F06008"/>
    <w:rsid w:val="00F06AD2"/>
    <w:rsid w:val="00F23DF8"/>
    <w:rsid w:val="00F60386"/>
    <w:rsid w:val="00FA3291"/>
    <w:rsid w:val="00FB4C0D"/>
    <w:rsid w:val="00FC18A2"/>
    <w:rsid w:val="00FE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159E2"/>
  <w15:chartTrackingRefBased/>
  <w15:docId w15:val="{F784F634-F8CF-DB4F-A6F7-B79DCB636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320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2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20F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20F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2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20F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20F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20F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20F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320F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32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320F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32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320F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320F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320F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320F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320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20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32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20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320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2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320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20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20F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2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320F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20F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320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85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9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.~WRD0000</Template>
  <TotalTime>1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鍾馥謙 ZHONG FU QIAN</dc:creator>
  <cp:keywords/>
  <dc:description/>
  <cp:lastModifiedBy>鍾馥謙 ZHONG FU QIAN</cp:lastModifiedBy>
  <cp:revision>2</cp:revision>
  <dcterms:created xsi:type="dcterms:W3CDTF">2025-11-01T10:01:00Z</dcterms:created>
  <dcterms:modified xsi:type="dcterms:W3CDTF">2025-11-01T10:01:00Z</dcterms:modified>
</cp:coreProperties>
</file>