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9F5A" w14:textId="77777777" w:rsidR="00125430" w:rsidRPr="00B3017C" w:rsidRDefault="00125430" w:rsidP="00B3017C">
      <w:pPr>
        <w:spacing w:line="360" w:lineRule="auto"/>
        <w:jc w:val="center"/>
        <w:rPr>
          <w:b/>
          <w:bCs/>
          <w:color w:val="000000" w:themeColor="text1"/>
        </w:rPr>
      </w:pPr>
    </w:p>
    <w:p w14:paraId="406B73C9" w14:textId="77777777" w:rsidR="00125430" w:rsidRPr="00B3017C" w:rsidRDefault="00125430" w:rsidP="00B3017C">
      <w:pPr>
        <w:spacing w:line="360" w:lineRule="auto"/>
        <w:jc w:val="center"/>
        <w:rPr>
          <w:b/>
          <w:bCs/>
          <w:color w:val="000000" w:themeColor="text1"/>
        </w:rPr>
      </w:pPr>
    </w:p>
    <w:p w14:paraId="0E0F616B" w14:textId="77777777" w:rsidR="00125430" w:rsidRPr="00B3017C" w:rsidRDefault="00125430" w:rsidP="00B3017C">
      <w:pPr>
        <w:spacing w:line="360" w:lineRule="auto"/>
        <w:jc w:val="center"/>
        <w:rPr>
          <w:b/>
          <w:bCs/>
          <w:color w:val="000000" w:themeColor="text1"/>
        </w:rPr>
      </w:pPr>
    </w:p>
    <w:p w14:paraId="75AED9E0" w14:textId="45DA68F8" w:rsidR="00125430" w:rsidRDefault="00D05F1C" w:rsidP="00B3017C">
      <w:pPr>
        <w:spacing w:line="360" w:lineRule="auto"/>
        <w:jc w:val="center"/>
        <w:rPr>
          <w:rStyle w:val="eop"/>
          <w:color w:val="000000"/>
          <w:sz w:val="32"/>
          <w:szCs w:val="32"/>
        </w:rPr>
      </w:pPr>
      <w:r>
        <w:rPr>
          <w:rStyle w:val="normaltextrun"/>
          <w:b/>
          <w:bCs/>
          <w:color w:val="000000"/>
          <w:sz w:val="32"/>
          <w:szCs w:val="32"/>
        </w:rPr>
        <w:t xml:space="preserve">Environmental DNA highlights the influence of salinity and agricultural run-off on coastal fish assemblages in the Great Barrier Reef </w:t>
      </w:r>
      <w:proofErr w:type="gramStart"/>
      <w:r>
        <w:rPr>
          <w:rStyle w:val="normaltextrun"/>
          <w:b/>
          <w:bCs/>
          <w:color w:val="000000"/>
          <w:sz w:val="32"/>
          <w:szCs w:val="32"/>
        </w:rPr>
        <w:t>region</w:t>
      </w:r>
      <w:proofErr w:type="gramEnd"/>
      <w:r>
        <w:rPr>
          <w:rStyle w:val="normaltextrun"/>
          <w:b/>
          <w:bCs/>
          <w:color w:val="000000"/>
          <w:sz w:val="32"/>
          <w:szCs w:val="32"/>
        </w:rPr>
        <w:t xml:space="preserve"> </w:t>
      </w:r>
      <w:r>
        <w:rPr>
          <w:rStyle w:val="eop"/>
          <w:color w:val="000000"/>
          <w:sz w:val="32"/>
          <w:szCs w:val="32"/>
        </w:rPr>
        <w:t> </w:t>
      </w:r>
    </w:p>
    <w:p w14:paraId="39B3DEE5" w14:textId="77777777" w:rsidR="00D05F1C" w:rsidRPr="00B3017C" w:rsidRDefault="00D05F1C" w:rsidP="00B3017C">
      <w:pPr>
        <w:spacing w:line="360" w:lineRule="auto"/>
        <w:jc w:val="center"/>
        <w:rPr>
          <w:color w:val="000000" w:themeColor="text1"/>
        </w:rPr>
      </w:pPr>
    </w:p>
    <w:p w14:paraId="607E166C" w14:textId="01BE491B" w:rsidR="00125430" w:rsidRPr="002A44CE" w:rsidRDefault="00125430" w:rsidP="002A44CE">
      <w:pPr>
        <w:spacing w:line="360" w:lineRule="auto"/>
        <w:jc w:val="center"/>
        <w:rPr>
          <w:color w:val="000000" w:themeColor="text1"/>
        </w:rPr>
      </w:pPr>
      <w:proofErr w:type="spellStart"/>
      <w:r w:rsidRPr="00B3017C">
        <w:rPr>
          <w:color w:val="000000" w:themeColor="text1"/>
        </w:rPr>
        <w:t>Aashi</w:t>
      </w:r>
      <w:proofErr w:type="spellEnd"/>
      <w:r w:rsidRPr="00B3017C">
        <w:rPr>
          <w:color w:val="000000" w:themeColor="text1"/>
        </w:rPr>
        <w:t xml:space="preserve"> Parikh, Johan </w:t>
      </w:r>
      <w:proofErr w:type="spellStart"/>
      <w:r w:rsidRPr="00B3017C">
        <w:rPr>
          <w:color w:val="000000" w:themeColor="text1"/>
        </w:rPr>
        <w:t>Pansu</w:t>
      </w:r>
      <w:proofErr w:type="spellEnd"/>
      <w:r w:rsidRPr="00B3017C">
        <w:rPr>
          <w:color w:val="000000" w:themeColor="text1"/>
        </w:rPr>
        <w:t xml:space="preserve">, Adam Stow, </w:t>
      </w:r>
      <w:r w:rsidRPr="00B3017C">
        <w:rPr>
          <w:color w:val="000000" w:themeColor="text1"/>
          <w:lang w:val="en-US"/>
        </w:rPr>
        <w:t>Michael St. J. Warne</w:t>
      </w:r>
      <w:r w:rsidRPr="00B3017C">
        <w:rPr>
          <w:color w:val="000000" w:themeColor="text1"/>
        </w:rPr>
        <w:t xml:space="preserve">, Christine Chivas, </w:t>
      </w:r>
      <w:r w:rsidRPr="00B3017C">
        <w:rPr>
          <w:color w:val="000000" w:themeColor="text1"/>
          <w:lang w:val="en-US"/>
        </w:rPr>
        <w:t>Frederic Boyer</w:t>
      </w:r>
      <w:r w:rsidRPr="00B3017C">
        <w:rPr>
          <w:color w:val="000000" w:themeColor="text1"/>
        </w:rPr>
        <w:t xml:space="preserve">, Paul Greenfield, Stuart Simpson, </w:t>
      </w:r>
      <w:r w:rsidRPr="00B3017C">
        <w:rPr>
          <w:color w:val="000000" w:themeColor="text1"/>
          <w:lang w:val="en-US"/>
        </w:rPr>
        <w:t xml:space="preserve">Rachel Smith, Jacob </w:t>
      </w:r>
      <w:proofErr w:type="spellStart"/>
      <w:r w:rsidRPr="00B3017C">
        <w:rPr>
          <w:color w:val="000000" w:themeColor="text1"/>
          <w:lang w:val="en-US"/>
        </w:rPr>
        <w:t>Gruythuysen</w:t>
      </w:r>
      <w:proofErr w:type="spellEnd"/>
      <w:r w:rsidRPr="00B3017C">
        <w:rPr>
          <w:color w:val="000000" w:themeColor="text1"/>
          <w:lang w:val="en-US"/>
        </w:rPr>
        <w:t>, Geoffrey D. Carlin</w:t>
      </w:r>
      <w:r w:rsidRPr="00B3017C">
        <w:rPr>
          <w:color w:val="000000" w:themeColor="text1"/>
        </w:rPr>
        <w:t xml:space="preserve">, </w:t>
      </w:r>
      <w:r w:rsidR="0034583B">
        <w:rPr>
          <w:color w:val="000000" w:themeColor="text1"/>
        </w:rPr>
        <w:t xml:space="preserve">Natalie Caulfield, </w:t>
      </w:r>
      <w:r w:rsidRPr="00B3017C">
        <w:rPr>
          <w:color w:val="000000" w:themeColor="text1"/>
        </w:rPr>
        <w:t xml:space="preserve">Frederic </w:t>
      </w:r>
      <w:proofErr w:type="spellStart"/>
      <w:r w:rsidRPr="00B3017C">
        <w:rPr>
          <w:color w:val="000000" w:themeColor="text1"/>
        </w:rPr>
        <w:t>Viard</w:t>
      </w:r>
      <w:proofErr w:type="spellEnd"/>
      <w:r w:rsidRPr="00B3017C">
        <w:rPr>
          <w:color w:val="000000" w:themeColor="text1"/>
        </w:rPr>
        <w:t xml:space="preserve"> and Anthony A. Chariton</w:t>
      </w:r>
    </w:p>
    <w:p w14:paraId="083D696C" w14:textId="77777777" w:rsidR="00125430" w:rsidRPr="00B3017C" w:rsidRDefault="00125430" w:rsidP="00B3017C">
      <w:pPr>
        <w:spacing w:line="360" w:lineRule="auto"/>
        <w:rPr>
          <w:b/>
          <w:bCs/>
        </w:rPr>
      </w:pPr>
    </w:p>
    <w:p w14:paraId="634DAA08" w14:textId="77777777" w:rsidR="00125430" w:rsidRPr="00B3017C" w:rsidRDefault="00125430" w:rsidP="00B3017C">
      <w:pPr>
        <w:spacing w:line="360" w:lineRule="auto"/>
        <w:rPr>
          <w:b/>
          <w:bCs/>
        </w:rPr>
      </w:pPr>
    </w:p>
    <w:p w14:paraId="330DE2AB" w14:textId="56558D11" w:rsidR="006B6390" w:rsidRPr="00B3017C" w:rsidRDefault="006B6390" w:rsidP="00B3017C">
      <w:pPr>
        <w:spacing w:line="360" w:lineRule="auto"/>
        <w:jc w:val="center"/>
        <w:rPr>
          <w:b/>
          <w:bCs/>
        </w:rPr>
      </w:pPr>
      <w:r w:rsidRPr="00B3017C">
        <w:rPr>
          <w:b/>
          <w:bCs/>
        </w:rPr>
        <w:t>SUPPLEMENTARY MATERIAL</w:t>
      </w:r>
    </w:p>
    <w:p w14:paraId="31D7CE23" w14:textId="29259FC8" w:rsidR="00F34FDF" w:rsidRPr="00B3017C" w:rsidRDefault="00F34FDF" w:rsidP="00B3017C">
      <w:pPr>
        <w:spacing w:line="360" w:lineRule="auto"/>
        <w:rPr>
          <w:b/>
          <w:bCs/>
        </w:rPr>
      </w:pPr>
    </w:p>
    <w:p w14:paraId="06B59ACF" w14:textId="64B560D1" w:rsidR="00F34FDF" w:rsidRPr="00B3017C" w:rsidRDefault="00F34FDF" w:rsidP="00B3017C">
      <w:pPr>
        <w:spacing w:line="360" w:lineRule="auto"/>
        <w:rPr>
          <w:b/>
          <w:bCs/>
        </w:rPr>
      </w:pPr>
    </w:p>
    <w:p w14:paraId="13889F7E" w14:textId="2B0E0ECC" w:rsidR="00CC4850" w:rsidRPr="00B3017C" w:rsidRDefault="00125430" w:rsidP="00B3017C">
      <w:pPr>
        <w:spacing w:line="360" w:lineRule="auto"/>
        <w:rPr>
          <w:noProof/>
        </w:rPr>
      </w:pPr>
      <w:r w:rsidRPr="00B3017C">
        <w:rPr>
          <w:b/>
          <w:bCs/>
          <w:noProof/>
        </w:rPr>
        <w:lastRenderedPageBreak/>
        <w:t xml:space="preserve"> </w:t>
      </w:r>
      <w:r w:rsidRPr="00B301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9EE93" wp14:editId="45123C91">
                <wp:simplePos x="0" y="0"/>
                <wp:positionH relativeFrom="column">
                  <wp:posOffset>-3287</wp:posOffset>
                </wp:positionH>
                <wp:positionV relativeFrom="paragraph">
                  <wp:posOffset>-3287</wp:posOffset>
                </wp:positionV>
                <wp:extent cx="360485" cy="33410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85" cy="33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01FC6" w14:textId="77777777" w:rsidR="00125430" w:rsidRDefault="00125430" w:rsidP="00125430">
                            <w: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9EE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25pt;margin-top:-.25pt;width:28.4pt;height:2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Lxp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" filled="f" stroked="f" strokeweight=".5pt">
                <v:textbox>
                  <w:txbxContent>
                    <w:p w14:paraId="1D501FC6" w14:textId="77777777" w:rsidR="00125430" w:rsidRDefault="00125430" w:rsidP="00125430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="00F34FDF" w:rsidRPr="00B3017C">
        <w:rPr>
          <w:noProof/>
        </w:rPr>
        <w:drawing>
          <wp:inline distT="0" distB="0" distL="0" distR="0" wp14:anchorId="34910F4E" wp14:editId="700FFB92">
            <wp:extent cx="3806825" cy="2356338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1" r="3615" b="2516"/>
                    <a:stretch/>
                  </pic:blipFill>
                  <pic:spPr bwMode="auto">
                    <a:xfrm>
                      <a:off x="0" y="0"/>
                      <a:ext cx="3806825" cy="23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DF" w:rsidRPr="00B3017C">
        <w:rPr>
          <w:noProof/>
        </w:rPr>
        <w:t xml:space="preserve"> </w:t>
      </w:r>
      <w:r w:rsidRPr="00B301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8B156C" wp14:editId="5AC1776C">
                <wp:simplePos x="0" y="0"/>
                <wp:positionH relativeFrom="column">
                  <wp:posOffset>-3287</wp:posOffset>
                </wp:positionH>
                <wp:positionV relativeFrom="paragraph">
                  <wp:posOffset>2354431</wp:posOffset>
                </wp:positionV>
                <wp:extent cx="360485" cy="33410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85" cy="33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12715" w14:textId="77777777" w:rsidR="00125430" w:rsidRDefault="00125430" w:rsidP="00125430">
                            <w: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B156C" id="Text Box 6" o:spid="_x0000_s1027" type="#_x0000_t202" style="position:absolute;margin-left:-.25pt;margin-top:185.4pt;width:28.4pt;height:26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HIbGAIAADI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" filled="f" stroked="f" strokeweight=".5pt">
                <v:textbox>
                  <w:txbxContent>
                    <w:p w14:paraId="35612715" w14:textId="77777777" w:rsidR="00125430" w:rsidRDefault="00125430" w:rsidP="00125430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F34FDF" w:rsidRPr="00B3017C">
        <w:rPr>
          <w:noProof/>
        </w:rPr>
        <w:drawing>
          <wp:inline distT="0" distB="0" distL="0" distR="0" wp14:anchorId="7076BA8A" wp14:editId="27492CA1">
            <wp:extent cx="3807069" cy="23647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9" r="3583" b="3439"/>
                    <a:stretch/>
                  </pic:blipFill>
                  <pic:spPr bwMode="auto">
                    <a:xfrm>
                      <a:off x="0" y="0"/>
                      <a:ext cx="3808151" cy="236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017C">
        <w:rPr>
          <w:b/>
          <w:bCs/>
          <w:noProof/>
        </w:rPr>
        <w:t xml:space="preserve"> </w:t>
      </w:r>
      <w:r w:rsidRPr="00B301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DF5BFA" wp14:editId="15D86E59">
                <wp:simplePos x="0" y="0"/>
                <wp:positionH relativeFrom="column">
                  <wp:posOffset>-3287</wp:posOffset>
                </wp:positionH>
                <wp:positionV relativeFrom="paragraph">
                  <wp:posOffset>4721113</wp:posOffset>
                </wp:positionV>
                <wp:extent cx="360485" cy="3341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85" cy="33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B6A6" w14:textId="77777777" w:rsidR="00125430" w:rsidRDefault="00125430" w:rsidP="00125430">
                            <w:r>
                              <w:t>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5BFA" id="Text Box 7" o:spid="_x0000_s1028" type="#_x0000_t202" style="position:absolute;margin-left:-.25pt;margin-top:371.75pt;width:28.4pt;height:26.3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NO/GgIAADI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" filled="f" stroked="f" strokeweight=".5pt">
                <v:textbox>
                  <w:txbxContent>
                    <w:p w14:paraId="6352B6A6" w14:textId="77777777" w:rsidR="00125430" w:rsidRDefault="00125430" w:rsidP="00125430">
                      <w:r>
                        <w:t>c.</w:t>
                      </w:r>
                    </w:p>
                  </w:txbxContent>
                </v:textbox>
              </v:shape>
            </w:pict>
          </mc:Fallback>
        </mc:AlternateContent>
      </w:r>
      <w:r w:rsidR="00F34FDF" w:rsidRPr="00B3017C">
        <w:rPr>
          <w:noProof/>
        </w:rPr>
        <w:drawing>
          <wp:inline distT="0" distB="0" distL="0" distR="0" wp14:anchorId="405A9876" wp14:editId="1BACF6C5">
            <wp:extent cx="3806825" cy="24625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9" r="3606"/>
                    <a:stretch/>
                  </pic:blipFill>
                  <pic:spPr bwMode="auto">
                    <a:xfrm>
                      <a:off x="0" y="0"/>
                      <a:ext cx="3807278" cy="246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CB50B" w14:textId="16FC686A" w:rsidR="00AE2A06" w:rsidRPr="00D04029" w:rsidRDefault="00F34FDF" w:rsidP="00B3017C">
      <w:pPr>
        <w:spacing w:line="360" w:lineRule="auto"/>
        <w:rPr>
          <w:noProof/>
        </w:rPr>
      </w:pPr>
      <w:r w:rsidRPr="00B3017C">
        <w:rPr>
          <w:b/>
          <w:bCs/>
          <w:noProof/>
        </w:rPr>
        <w:t xml:space="preserve">Figure </w:t>
      </w:r>
      <w:r w:rsidR="00151250" w:rsidRPr="00B3017C">
        <w:rPr>
          <w:b/>
          <w:bCs/>
          <w:noProof/>
        </w:rPr>
        <w:t>S</w:t>
      </w:r>
      <w:r w:rsidRPr="00B3017C">
        <w:rPr>
          <w:b/>
          <w:bCs/>
          <w:noProof/>
        </w:rPr>
        <w:t xml:space="preserve">1. </w:t>
      </w:r>
      <w:r w:rsidRPr="00B3017C">
        <w:rPr>
          <w:noProof/>
        </w:rPr>
        <w:t xml:space="preserve">Species accumulation curves generated for </w:t>
      </w:r>
      <w:r w:rsidRPr="00B3017C">
        <w:rPr>
          <w:b/>
          <w:bCs/>
          <w:noProof/>
        </w:rPr>
        <w:t xml:space="preserve">a. </w:t>
      </w:r>
      <w:r w:rsidRPr="00B3017C">
        <w:rPr>
          <w:noProof/>
        </w:rPr>
        <w:t xml:space="preserve">dry and wet season samples used in this study, </w:t>
      </w:r>
      <w:r w:rsidRPr="00B3017C">
        <w:rPr>
          <w:b/>
          <w:bCs/>
          <w:noProof/>
        </w:rPr>
        <w:t xml:space="preserve">b. </w:t>
      </w:r>
      <w:r w:rsidRPr="00B3017C">
        <w:rPr>
          <w:noProof/>
        </w:rPr>
        <w:t>only wet season samples</w:t>
      </w:r>
      <w:r w:rsidR="00F43430" w:rsidRPr="00B3017C">
        <w:rPr>
          <w:noProof/>
        </w:rPr>
        <w:t xml:space="preserve"> used in this study,</w:t>
      </w:r>
      <w:r w:rsidRPr="00B3017C">
        <w:rPr>
          <w:noProof/>
        </w:rPr>
        <w:t xml:space="preserve"> and </w:t>
      </w:r>
      <w:r w:rsidRPr="00B3017C">
        <w:rPr>
          <w:b/>
          <w:bCs/>
          <w:noProof/>
        </w:rPr>
        <w:t xml:space="preserve">c. </w:t>
      </w:r>
      <w:r w:rsidRPr="00B3017C">
        <w:rPr>
          <w:noProof/>
        </w:rPr>
        <w:t xml:space="preserve">the few samples during the wet season which were re-extracted at higher volumes, where 500mL, 800mL and 1000mL </w:t>
      </w:r>
      <w:r w:rsidR="00F43430" w:rsidRPr="00B3017C">
        <w:rPr>
          <w:noProof/>
        </w:rPr>
        <w:t>refers to the volume of water filtered in the re-extracts, and 250-500mL (Original)</w:t>
      </w:r>
      <w:r w:rsidRPr="00B3017C">
        <w:rPr>
          <w:noProof/>
        </w:rPr>
        <w:t xml:space="preserve"> </w:t>
      </w:r>
      <w:r w:rsidR="00F43430" w:rsidRPr="00B3017C">
        <w:rPr>
          <w:noProof/>
        </w:rPr>
        <w:t>refers to</w:t>
      </w:r>
      <w:r w:rsidRPr="00B3017C">
        <w:rPr>
          <w:noProof/>
        </w:rPr>
        <w:t xml:space="preserve"> the </w:t>
      </w:r>
      <w:r w:rsidR="00F43430" w:rsidRPr="00B3017C">
        <w:rPr>
          <w:noProof/>
        </w:rPr>
        <w:t>samples</w:t>
      </w:r>
      <w:r w:rsidRPr="00B3017C">
        <w:rPr>
          <w:noProof/>
        </w:rPr>
        <w:t xml:space="preserve"> included in the study</w:t>
      </w:r>
      <w:r w:rsidR="00F43430" w:rsidRPr="00B3017C">
        <w:rPr>
          <w:noProof/>
        </w:rPr>
        <w:t xml:space="preserve"> which correspond to the same sites as the re-extracted samples</w:t>
      </w:r>
    </w:p>
    <w:p w14:paraId="4A7244C2" w14:textId="77777777" w:rsidR="00B57A3C" w:rsidRPr="00B3017C" w:rsidRDefault="00B57A3C" w:rsidP="00B3017C">
      <w:pPr>
        <w:spacing w:line="360" w:lineRule="auto"/>
        <w:rPr>
          <w:color w:val="000000" w:themeColor="text1"/>
        </w:rPr>
      </w:pPr>
    </w:p>
    <w:p w14:paraId="1CC4A3D7" w14:textId="77777777" w:rsidR="00B57A3C" w:rsidRPr="00B3017C" w:rsidRDefault="00B57A3C" w:rsidP="00B3017C">
      <w:pPr>
        <w:spacing w:line="360" w:lineRule="auto"/>
        <w:rPr>
          <w:color w:val="000000" w:themeColor="text1"/>
        </w:rPr>
      </w:pPr>
    </w:p>
    <w:p w14:paraId="3ECE3A7C" w14:textId="77777777" w:rsidR="00B57A3C" w:rsidRPr="00B3017C" w:rsidRDefault="00B57A3C" w:rsidP="00B3017C">
      <w:pPr>
        <w:spacing w:line="360" w:lineRule="auto"/>
        <w:rPr>
          <w:color w:val="000000" w:themeColor="text1"/>
        </w:rPr>
      </w:pPr>
    </w:p>
    <w:p w14:paraId="6AEF51D6" w14:textId="77777777" w:rsidR="00881D2C" w:rsidRPr="00CF67FA" w:rsidRDefault="00881D2C" w:rsidP="00881D2C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B88412A" wp14:editId="7538CE88">
            <wp:extent cx="4104979" cy="2256644"/>
            <wp:effectExtent l="0" t="0" r="0" b="4445"/>
            <wp:docPr id="313627309" name="Picture 1" descr="A graph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7309" name="Picture 1" descr="A graph of different color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" r="1929" b="6598"/>
                    <a:stretch/>
                  </pic:blipFill>
                  <pic:spPr bwMode="auto">
                    <a:xfrm>
                      <a:off x="0" y="0"/>
                      <a:ext cx="4129775" cy="227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36936" w14:textId="1DAE7B5D" w:rsidR="00881D2C" w:rsidRPr="00B3017C" w:rsidRDefault="00881D2C" w:rsidP="00881D2C">
      <w:pPr>
        <w:spacing w:line="360" w:lineRule="auto"/>
        <w:rPr>
          <w:color w:val="000000" w:themeColor="text1"/>
        </w:rPr>
      </w:pPr>
      <w:r w:rsidRPr="00CF67FA">
        <w:rPr>
          <w:b/>
          <w:bCs/>
          <w:color w:val="000000" w:themeColor="text1"/>
        </w:rPr>
        <w:t>Figure S</w:t>
      </w:r>
      <w:r>
        <w:rPr>
          <w:b/>
          <w:bCs/>
          <w:color w:val="000000" w:themeColor="text1"/>
        </w:rPr>
        <w:t>2</w:t>
      </w:r>
      <w:r w:rsidRPr="00CF67FA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Rarefaction curve of species richness accumulation at each location during the dry (2018) and wet (2020) season</w:t>
      </w:r>
    </w:p>
    <w:p w14:paraId="1601115B" w14:textId="77777777" w:rsidR="00881D2C" w:rsidRDefault="00881D2C" w:rsidP="00B3017C">
      <w:pPr>
        <w:spacing w:line="360" w:lineRule="auto"/>
        <w:rPr>
          <w:color w:val="000000" w:themeColor="text1"/>
        </w:rPr>
      </w:pPr>
    </w:p>
    <w:p w14:paraId="341F4132" w14:textId="3527F1B1" w:rsidR="00B57A3C" w:rsidRPr="00B3017C" w:rsidRDefault="00797AC9" w:rsidP="00B3017C">
      <w:p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B0257D" wp14:editId="7AAD9FC6">
            <wp:extent cx="4030134" cy="2914023"/>
            <wp:effectExtent l="0" t="0" r="0" b="0"/>
            <wp:docPr id="1326849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9301" name="Picture 1326849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30" cy="29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C21" w14:textId="4E83E654" w:rsidR="00B57A3C" w:rsidRDefault="00B57A3C" w:rsidP="00B3017C">
      <w:pPr>
        <w:spacing w:line="360" w:lineRule="auto"/>
        <w:rPr>
          <w:color w:val="000000" w:themeColor="text1"/>
        </w:rPr>
      </w:pPr>
      <w:r w:rsidRPr="00B3017C">
        <w:rPr>
          <w:b/>
          <w:bCs/>
          <w:color w:val="000000" w:themeColor="text1"/>
        </w:rPr>
        <w:t xml:space="preserve">Figure </w:t>
      </w:r>
      <w:r w:rsidR="00994188">
        <w:rPr>
          <w:b/>
          <w:bCs/>
          <w:color w:val="000000" w:themeColor="text1"/>
        </w:rPr>
        <w:t>S</w:t>
      </w:r>
      <w:r w:rsidR="00881D2C">
        <w:rPr>
          <w:b/>
          <w:bCs/>
          <w:color w:val="000000" w:themeColor="text1"/>
        </w:rPr>
        <w:t>3</w:t>
      </w:r>
      <w:r w:rsidR="00994188">
        <w:rPr>
          <w:b/>
          <w:bCs/>
          <w:color w:val="000000" w:themeColor="text1"/>
        </w:rPr>
        <w:t>.</w:t>
      </w:r>
      <w:r w:rsidRPr="00B3017C">
        <w:rPr>
          <w:b/>
          <w:bCs/>
          <w:color w:val="000000" w:themeColor="text1"/>
        </w:rPr>
        <w:t xml:space="preserve"> </w:t>
      </w:r>
      <w:proofErr w:type="spellStart"/>
      <w:r w:rsidRPr="00B3017C">
        <w:rPr>
          <w:color w:val="000000" w:themeColor="text1"/>
        </w:rPr>
        <w:t>nMDS</w:t>
      </w:r>
      <w:proofErr w:type="spellEnd"/>
      <w:r w:rsidRPr="00B3017C">
        <w:rPr>
          <w:color w:val="000000" w:themeColor="text1"/>
        </w:rPr>
        <w:t xml:space="preserve"> ordination plots of fish communities at </w:t>
      </w:r>
      <w:r w:rsidR="00AB7AD6">
        <w:rPr>
          <w:color w:val="000000" w:themeColor="text1"/>
        </w:rPr>
        <w:t xml:space="preserve">different </w:t>
      </w:r>
      <w:r w:rsidRPr="00B3017C">
        <w:rPr>
          <w:color w:val="000000" w:themeColor="text1"/>
        </w:rPr>
        <w:t>sites from the four locations during the dry (2018) and wet (2020) season, based on a Jaccard index of dissimilarity.</w:t>
      </w:r>
    </w:p>
    <w:p w14:paraId="19D01708" w14:textId="48E8C7A2" w:rsidR="00AE2A06" w:rsidRPr="00B3017C" w:rsidRDefault="00AE2A06" w:rsidP="00B3017C">
      <w:pPr>
        <w:spacing w:line="360" w:lineRule="auto"/>
      </w:pPr>
    </w:p>
    <w:p w14:paraId="0747B7E7" w14:textId="079159EF" w:rsidR="00431A71" w:rsidRPr="00B3017C" w:rsidRDefault="00431A71" w:rsidP="00B3017C">
      <w:pPr>
        <w:spacing w:line="360" w:lineRule="auto"/>
      </w:pPr>
      <w:r w:rsidRPr="00B3017C">
        <w:rPr>
          <w:b/>
          <w:bCs/>
        </w:rPr>
        <w:t xml:space="preserve">Table S1. </w:t>
      </w:r>
      <w:r w:rsidRPr="00B3017C">
        <w:t>GPS coordinates of the sample collection sites at the four study locations in the Mackay-Whitsunday region.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2347"/>
        <w:gridCol w:w="1326"/>
        <w:gridCol w:w="1834"/>
        <w:gridCol w:w="1913"/>
      </w:tblGrid>
      <w:tr w:rsidR="00431A71" w:rsidRPr="00B3017C" w14:paraId="6F74E53F" w14:textId="77777777" w:rsidTr="00431A71">
        <w:trPr>
          <w:trHeight w:val="217"/>
        </w:trPr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02328" w14:textId="77777777" w:rsidR="00431A71" w:rsidRPr="00B3017C" w:rsidRDefault="00431A71" w:rsidP="002A44CE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Location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1A2EC" w14:textId="77777777" w:rsidR="00431A71" w:rsidRPr="00B3017C" w:rsidRDefault="00431A71" w:rsidP="002A44CE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Site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43F6E" w14:textId="77777777" w:rsidR="00431A71" w:rsidRPr="00B3017C" w:rsidRDefault="00431A71" w:rsidP="002A44CE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Latitude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23701" w14:textId="77777777" w:rsidR="00431A71" w:rsidRPr="00B3017C" w:rsidRDefault="00431A71" w:rsidP="002A44CE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Longitude</w:t>
            </w:r>
          </w:p>
        </w:tc>
      </w:tr>
      <w:tr w:rsidR="00431A71" w:rsidRPr="00B3017C" w14:paraId="7B05BA85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17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FAC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D82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-20.169808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1AD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148.463653</w:t>
            </w:r>
          </w:p>
        </w:tc>
      </w:tr>
      <w:tr w:rsidR="00431A71" w:rsidRPr="00B3017C" w14:paraId="74FF332F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748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4C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57A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-20.176668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EFC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148.480358</w:t>
            </w:r>
          </w:p>
        </w:tc>
      </w:tr>
      <w:tr w:rsidR="00431A71" w:rsidRPr="00B3017C" w14:paraId="26E961C1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764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6FE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FE7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-20.180098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ACE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148.481883</w:t>
            </w:r>
          </w:p>
        </w:tc>
      </w:tr>
      <w:tr w:rsidR="00431A71" w:rsidRPr="00B3017C" w14:paraId="104BC244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ED4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61B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780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-20.173833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5FC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148.484241</w:t>
            </w:r>
          </w:p>
        </w:tc>
      </w:tr>
      <w:tr w:rsidR="00431A71" w:rsidRPr="00B3017C" w14:paraId="181516B5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FF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lastRenderedPageBreak/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1DB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7D1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-20.170892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428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148.475268</w:t>
            </w:r>
          </w:p>
        </w:tc>
      </w:tr>
      <w:tr w:rsidR="00431A71" w:rsidRPr="00B3017C" w14:paraId="0582C198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DE6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7F5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301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-20.164633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4D2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148.468376</w:t>
            </w:r>
          </w:p>
        </w:tc>
      </w:tr>
      <w:tr w:rsidR="00431A71" w:rsidRPr="00B3017C" w14:paraId="0EA37437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9C9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47E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10D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-20.177986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CE76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148.455748</w:t>
            </w:r>
          </w:p>
        </w:tc>
      </w:tr>
      <w:tr w:rsidR="00431A71" w:rsidRPr="00B3017C" w14:paraId="62D290DE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124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409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675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-20.176744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E65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148.449856</w:t>
            </w:r>
          </w:p>
        </w:tc>
      </w:tr>
      <w:tr w:rsidR="00431A71" w:rsidRPr="00B3017C" w14:paraId="126040A7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83F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7DF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4CA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-20.168007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F63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148.442232</w:t>
            </w:r>
          </w:p>
        </w:tc>
      </w:tr>
      <w:tr w:rsidR="00431A71" w:rsidRPr="00B3017C" w14:paraId="7F956AE3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0D0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8E86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815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-20.15874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F96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148.433436</w:t>
            </w:r>
          </w:p>
        </w:tc>
      </w:tr>
      <w:tr w:rsidR="00431A71" w:rsidRPr="00B3017C" w14:paraId="6AEBE01D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91C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8CB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9FD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-20.909632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3CD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148.839492</w:t>
            </w:r>
          </w:p>
        </w:tc>
      </w:tr>
      <w:tr w:rsidR="00431A71" w:rsidRPr="00B3017C" w14:paraId="025A746E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BAD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8C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972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-20.905901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8EB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148.841461</w:t>
            </w:r>
          </w:p>
        </w:tc>
      </w:tr>
      <w:tr w:rsidR="00431A71" w:rsidRPr="00B3017C" w14:paraId="736F8D4B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40E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14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ABD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-20.897115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31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148.828657</w:t>
            </w:r>
          </w:p>
        </w:tc>
      </w:tr>
      <w:tr w:rsidR="00431A71" w:rsidRPr="00B3017C" w14:paraId="69A9B8AF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7DF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5E9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B11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-20.887556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220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148.830774</w:t>
            </w:r>
          </w:p>
        </w:tc>
      </w:tr>
      <w:tr w:rsidR="00431A71" w:rsidRPr="00B3017C" w14:paraId="3072382B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0B7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5BD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AE4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-20.887579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BB7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148.842553</w:t>
            </w:r>
          </w:p>
        </w:tc>
      </w:tr>
      <w:tr w:rsidR="00431A71" w:rsidRPr="00B3017C" w14:paraId="4D29CA26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9A2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79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B81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-20.872732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C3D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148.843118</w:t>
            </w:r>
          </w:p>
        </w:tc>
      </w:tr>
      <w:tr w:rsidR="00431A71" w:rsidRPr="00B3017C" w14:paraId="1E88EA80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F2B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BD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14F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-20.878308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159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148.811642</w:t>
            </w:r>
          </w:p>
        </w:tc>
      </w:tr>
      <w:tr w:rsidR="00431A71" w:rsidRPr="00B3017C" w14:paraId="2931A6A6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E86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57D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85B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-20.880415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7B7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148.82306</w:t>
            </w:r>
          </w:p>
        </w:tc>
      </w:tr>
      <w:tr w:rsidR="00431A71" w:rsidRPr="00B3017C" w14:paraId="1CB4E298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E6C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EA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31A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-20.882432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C1F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148.829646</w:t>
            </w:r>
          </w:p>
        </w:tc>
      </w:tr>
      <w:tr w:rsidR="00431A71" w:rsidRPr="00B3017C" w14:paraId="3A53841C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AE1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 Helen's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B67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EF9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-20.88342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67D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148.834255</w:t>
            </w:r>
          </w:p>
        </w:tc>
      </w:tr>
      <w:tr w:rsidR="00431A71" w:rsidRPr="00B3017C" w14:paraId="113764C2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EF1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A1F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AF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-21.266959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5D6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149.16385</w:t>
            </w:r>
          </w:p>
        </w:tc>
      </w:tr>
      <w:tr w:rsidR="00431A71" w:rsidRPr="00B3017C" w14:paraId="20769AB3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1AE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D5A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720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-21.275074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700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149.175424</w:t>
            </w:r>
          </w:p>
        </w:tc>
      </w:tr>
      <w:tr w:rsidR="00431A71" w:rsidRPr="00B3017C" w14:paraId="630E0F35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91A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931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626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-21.276282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ADB6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149.180561</w:t>
            </w:r>
          </w:p>
        </w:tc>
      </w:tr>
      <w:tr w:rsidR="00431A71" w:rsidRPr="00B3017C" w14:paraId="3E48FB09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5A4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BFC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8C9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-21.273441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FE4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149.188265</w:t>
            </w:r>
          </w:p>
        </w:tc>
      </w:tr>
      <w:tr w:rsidR="00431A71" w:rsidRPr="00B3017C" w14:paraId="2FB9393A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560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D2A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A87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-21.272302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958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149.192183</w:t>
            </w:r>
          </w:p>
        </w:tc>
      </w:tr>
      <w:tr w:rsidR="00431A71" w:rsidRPr="00B3017C" w14:paraId="193AF09B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24D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EE0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6D5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-21.268295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49D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149.198532</w:t>
            </w:r>
          </w:p>
        </w:tc>
      </w:tr>
      <w:tr w:rsidR="00431A71" w:rsidRPr="00B3017C" w14:paraId="301036BF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32B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759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BC3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-21.276926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11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149.163843</w:t>
            </w:r>
          </w:p>
        </w:tc>
      </w:tr>
      <w:tr w:rsidR="00431A71" w:rsidRPr="00B3017C" w14:paraId="72C41075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0EF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ABF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1B71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-21.274582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896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149.168429</w:t>
            </w:r>
          </w:p>
        </w:tc>
      </w:tr>
      <w:tr w:rsidR="00431A71" w:rsidRPr="00B3017C" w14:paraId="67BA6745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4E10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Creek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BBD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F76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-21.287364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4C3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149.179776</w:t>
            </w:r>
          </w:p>
        </w:tc>
      </w:tr>
      <w:tr w:rsidR="00431A71" w:rsidRPr="00B3017C" w14:paraId="23C59759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BB39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Mackay Harbour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6EE5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45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-21.112002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7BE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149.227472</w:t>
            </w:r>
          </w:p>
        </w:tc>
      </w:tr>
      <w:tr w:rsidR="00431A71" w:rsidRPr="00B3017C" w14:paraId="3BD95D71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E9AD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Mackay Harbour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276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E95F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-21.104729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8C4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149.235875</w:t>
            </w:r>
          </w:p>
        </w:tc>
      </w:tr>
      <w:tr w:rsidR="00431A71" w:rsidRPr="00B3017C" w14:paraId="01204DBC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83A8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Mackay Harbour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8213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D5AA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-21.106485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AE87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149.231084</w:t>
            </w:r>
          </w:p>
        </w:tc>
      </w:tr>
      <w:tr w:rsidR="00431A71" w:rsidRPr="00B3017C" w14:paraId="0E1E77F3" w14:textId="77777777" w:rsidTr="00431A71">
        <w:trPr>
          <w:trHeight w:val="217"/>
        </w:trPr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2CCDC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Mackay Harbour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9EA2B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9352E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-21.106485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A2372" w14:textId="77777777" w:rsidR="00431A71" w:rsidRPr="00B3017C" w:rsidRDefault="00431A71" w:rsidP="002A44CE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149.225115</w:t>
            </w:r>
          </w:p>
        </w:tc>
      </w:tr>
    </w:tbl>
    <w:p w14:paraId="6E33E0CA" w14:textId="77777777" w:rsidR="00431A71" w:rsidRDefault="00431A71" w:rsidP="00C16D42">
      <w:pPr>
        <w:spacing w:line="360" w:lineRule="auto"/>
      </w:pPr>
    </w:p>
    <w:p w14:paraId="4D51CCEF" w14:textId="77777777" w:rsidR="00881D2C" w:rsidRPr="00B3017C" w:rsidRDefault="00881D2C" w:rsidP="00C16D42">
      <w:pPr>
        <w:spacing w:line="360" w:lineRule="auto"/>
      </w:pPr>
    </w:p>
    <w:p w14:paraId="12773184" w14:textId="29846438" w:rsidR="00C16D42" w:rsidRDefault="00C16D42" w:rsidP="00C16D42">
      <w:pPr>
        <w:spacing w:line="360" w:lineRule="auto"/>
      </w:pPr>
      <w:r>
        <w:rPr>
          <w:b/>
          <w:bCs/>
        </w:rPr>
        <w:t xml:space="preserve">Table S2. </w:t>
      </w:r>
      <w:r>
        <w:t xml:space="preserve">Table of monitored pesticides and their limits of </w:t>
      </w:r>
      <w:proofErr w:type="gramStart"/>
      <w:r>
        <w:t>reporting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6D42" w14:paraId="15D35330" w14:textId="77777777" w:rsidTr="00EF7E8E">
        <w:tc>
          <w:tcPr>
            <w:tcW w:w="2254" w:type="dxa"/>
          </w:tcPr>
          <w:p w14:paraId="01B343A3" w14:textId="77777777" w:rsidR="00C16D42" w:rsidRPr="00477F6C" w:rsidRDefault="00C16D42" w:rsidP="00EF7E8E">
            <w:pPr>
              <w:rPr>
                <w:b/>
                <w:bCs/>
              </w:rPr>
            </w:pPr>
            <w:r w:rsidRPr="00477F6C">
              <w:rPr>
                <w:b/>
                <w:bCs/>
              </w:rPr>
              <w:t>Pesticide</w:t>
            </w:r>
          </w:p>
        </w:tc>
        <w:tc>
          <w:tcPr>
            <w:tcW w:w="2254" w:type="dxa"/>
          </w:tcPr>
          <w:p w14:paraId="55367DE9" w14:textId="77777777" w:rsidR="00C16D42" w:rsidRPr="00477F6C" w:rsidRDefault="00C16D42" w:rsidP="00EF7E8E">
            <w:pPr>
              <w:jc w:val="center"/>
              <w:rPr>
                <w:b/>
                <w:bCs/>
              </w:rPr>
            </w:pPr>
            <w:r w:rsidRPr="00477F6C">
              <w:rPr>
                <w:b/>
                <w:bCs/>
              </w:rPr>
              <w:t>Limit of reporting (</w:t>
            </w:r>
            <w:r w:rsidRPr="00477F6C">
              <w:rPr>
                <w:rFonts w:ascii="Calibri" w:hAnsi="Calibri" w:cs="Calibri"/>
                <w:b/>
                <w:bCs/>
              </w:rPr>
              <w:t>µ</w:t>
            </w:r>
            <w:r w:rsidRPr="00477F6C">
              <w:rPr>
                <w:b/>
                <w:bCs/>
              </w:rPr>
              <w:t>g/L)</w:t>
            </w:r>
          </w:p>
        </w:tc>
        <w:tc>
          <w:tcPr>
            <w:tcW w:w="2254" w:type="dxa"/>
          </w:tcPr>
          <w:p w14:paraId="2689283E" w14:textId="77777777" w:rsidR="00C16D42" w:rsidRPr="00477F6C" w:rsidRDefault="00C16D42" w:rsidP="00EF7E8E">
            <w:pPr>
              <w:rPr>
                <w:b/>
                <w:bCs/>
              </w:rPr>
            </w:pPr>
            <w:r w:rsidRPr="00477F6C">
              <w:rPr>
                <w:b/>
                <w:bCs/>
              </w:rPr>
              <w:t>Pesticide</w:t>
            </w:r>
          </w:p>
        </w:tc>
        <w:tc>
          <w:tcPr>
            <w:tcW w:w="2254" w:type="dxa"/>
          </w:tcPr>
          <w:p w14:paraId="76D99FC6" w14:textId="77777777" w:rsidR="00C16D42" w:rsidRPr="00477F6C" w:rsidRDefault="00C16D42" w:rsidP="00EF7E8E">
            <w:pPr>
              <w:jc w:val="center"/>
              <w:rPr>
                <w:b/>
                <w:bCs/>
              </w:rPr>
            </w:pPr>
            <w:r w:rsidRPr="00477F6C">
              <w:rPr>
                <w:b/>
                <w:bCs/>
              </w:rPr>
              <w:t>Limit of reporting (</w:t>
            </w:r>
            <w:r w:rsidRPr="00477F6C">
              <w:rPr>
                <w:rFonts w:ascii="Calibri" w:hAnsi="Calibri" w:cs="Calibri"/>
                <w:b/>
                <w:bCs/>
              </w:rPr>
              <w:t>µ</w:t>
            </w:r>
            <w:r w:rsidRPr="00477F6C">
              <w:rPr>
                <w:b/>
                <w:bCs/>
              </w:rPr>
              <w:t>g/L)</w:t>
            </w:r>
          </w:p>
        </w:tc>
      </w:tr>
      <w:tr w:rsidR="00C16D42" w14:paraId="1317E1FE" w14:textId="77777777" w:rsidTr="00EF7E8E">
        <w:tc>
          <w:tcPr>
            <w:tcW w:w="2254" w:type="dxa"/>
          </w:tcPr>
          <w:p w14:paraId="672B0D69" w14:textId="77777777" w:rsidR="00C16D42" w:rsidRDefault="00C16D42" w:rsidP="00EF7E8E">
            <w:r>
              <w:t>2,4-D</w:t>
            </w:r>
          </w:p>
        </w:tc>
        <w:tc>
          <w:tcPr>
            <w:tcW w:w="2254" w:type="dxa"/>
          </w:tcPr>
          <w:p w14:paraId="79AE5F17" w14:textId="77777777" w:rsidR="00C16D42" w:rsidRDefault="00C16D42" w:rsidP="00EF7E8E">
            <w:pPr>
              <w:jc w:val="center"/>
            </w:pPr>
            <w:r>
              <w:t>0.02</w:t>
            </w:r>
          </w:p>
        </w:tc>
        <w:tc>
          <w:tcPr>
            <w:tcW w:w="2254" w:type="dxa"/>
          </w:tcPr>
          <w:p w14:paraId="3182EF6A" w14:textId="77777777" w:rsidR="00C16D42" w:rsidRDefault="00C16D42" w:rsidP="00EF7E8E">
            <w:r>
              <w:t>Imidacloprid</w:t>
            </w:r>
          </w:p>
        </w:tc>
        <w:tc>
          <w:tcPr>
            <w:tcW w:w="2254" w:type="dxa"/>
          </w:tcPr>
          <w:p w14:paraId="07278B4E" w14:textId="77777777" w:rsidR="00C16D42" w:rsidRDefault="00C16D42" w:rsidP="00EF7E8E">
            <w:pPr>
              <w:jc w:val="center"/>
            </w:pPr>
            <w:r w:rsidRPr="00C829D9">
              <w:t>0.02</w:t>
            </w:r>
          </w:p>
        </w:tc>
      </w:tr>
      <w:tr w:rsidR="00C16D42" w14:paraId="7204E6AC" w14:textId="77777777" w:rsidTr="00EF7E8E">
        <w:tc>
          <w:tcPr>
            <w:tcW w:w="2254" w:type="dxa"/>
          </w:tcPr>
          <w:p w14:paraId="164578A9" w14:textId="77777777" w:rsidR="00C16D42" w:rsidRDefault="00C16D42" w:rsidP="00EF7E8E">
            <w:proofErr w:type="spellStart"/>
            <w:r>
              <w:t>Ametryn</w:t>
            </w:r>
            <w:proofErr w:type="spellEnd"/>
          </w:p>
        </w:tc>
        <w:tc>
          <w:tcPr>
            <w:tcW w:w="2254" w:type="dxa"/>
          </w:tcPr>
          <w:p w14:paraId="0232A565" w14:textId="77777777" w:rsidR="00C16D42" w:rsidRDefault="00C16D42" w:rsidP="00EF7E8E">
            <w:pPr>
              <w:jc w:val="center"/>
            </w:pPr>
            <w:r>
              <w:t>0.01</w:t>
            </w:r>
          </w:p>
        </w:tc>
        <w:tc>
          <w:tcPr>
            <w:tcW w:w="2254" w:type="dxa"/>
          </w:tcPr>
          <w:p w14:paraId="6BFFB76E" w14:textId="77777777" w:rsidR="00C16D42" w:rsidRDefault="00C16D42" w:rsidP="00EF7E8E">
            <w:proofErr w:type="spellStart"/>
            <w:r>
              <w:t>Isoxaflutole</w:t>
            </w:r>
            <w:proofErr w:type="spellEnd"/>
          </w:p>
        </w:tc>
        <w:tc>
          <w:tcPr>
            <w:tcW w:w="2254" w:type="dxa"/>
          </w:tcPr>
          <w:p w14:paraId="4C2CE974" w14:textId="77777777" w:rsidR="00C16D42" w:rsidRDefault="00C16D42" w:rsidP="00EF7E8E">
            <w:pPr>
              <w:jc w:val="center"/>
            </w:pPr>
            <w:r w:rsidRPr="00C829D9">
              <w:t>0.02</w:t>
            </w:r>
          </w:p>
        </w:tc>
      </w:tr>
      <w:tr w:rsidR="00C16D42" w14:paraId="2BACCE6A" w14:textId="77777777" w:rsidTr="00EF7E8E">
        <w:tc>
          <w:tcPr>
            <w:tcW w:w="2254" w:type="dxa"/>
          </w:tcPr>
          <w:p w14:paraId="41124507" w14:textId="77777777" w:rsidR="00C16D42" w:rsidRDefault="00C16D42" w:rsidP="00EF7E8E">
            <w:r>
              <w:t>Atrazine</w:t>
            </w:r>
          </w:p>
        </w:tc>
        <w:tc>
          <w:tcPr>
            <w:tcW w:w="2254" w:type="dxa"/>
          </w:tcPr>
          <w:p w14:paraId="74EEF0C9" w14:textId="77777777" w:rsidR="00C16D42" w:rsidRDefault="00C16D42" w:rsidP="00EF7E8E">
            <w:pPr>
              <w:jc w:val="center"/>
            </w:pPr>
            <w:r w:rsidRPr="00C67ACC">
              <w:t>0.02</w:t>
            </w:r>
          </w:p>
        </w:tc>
        <w:tc>
          <w:tcPr>
            <w:tcW w:w="2254" w:type="dxa"/>
          </w:tcPr>
          <w:p w14:paraId="0D9847A8" w14:textId="77777777" w:rsidR="00C16D42" w:rsidRDefault="00C16D42" w:rsidP="00EF7E8E">
            <w:r>
              <w:t>MCPA</w:t>
            </w:r>
          </w:p>
        </w:tc>
        <w:tc>
          <w:tcPr>
            <w:tcW w:w="2254" w:type="dxa"/>
          </w:tcPr>
          <w:p w14:paraId="2601BC98" w14:textId="77777777" w:rsidR="00C16D42" w:rsidRDefault="00C16D42" w:rsidP="00EF7E8E">
            <w:pPr>
              <w:jc w:val="center"/>
            </w:pPr>
            <w:r w:rsidRPr="00A00E1F">
              <w:t>0.01</w:t>
            </w:r>
          </w:p>
        </w:tc>
      </w:tr>
      <w:tr w:rsidR="00C16D42" w14:paraId="0E5B8B29" w14:textId="77777777" w:rsidTr="00EF7E8E">
        <w:tc>
          <w:tcPr>
            <w:tcW w:w="2254" w:type="dxa"/>
          </w:tcPr>
          <w:p w14:paraId="1F777F05" w14:textId="77777777" w:rsidR="00C16D42" w:rsidRDefault="00C16D42" w:rsidP="00EF7E8E">
            <w:proofErr w:type="spellStart"/>
            <w:r>
              <w:t>Bromacil</w:t>
            </w:r>
            <w:proofErr w:type="spellEnd"/>
          </w:p>
        </w:tc>
        <w:tc>
          <w:tcPr>
            <w:tcW w:w="2254" w:type="dxa"/>
          </w:tcPr>
          <w:p w14:paraId="4650935F" w14:textId="77777777" w:rsidR="00C16D42" w:rsidRPr="00C67ACC" w:rsidRDefault="00C16D42" w:rsidP="00EF7E8E">
            <w:pPr>
              <w:jc w:val="center"/>
            </w:pPr>
            <w:r w:rsidRPr="00C67ACC">
              <w:t>0.02</w:t>
            </w:r>
          </w:p>
        </w:tc>
        <w:tc>
          <w:tcPr>
            <w:tcW w:w="2254" w:type="dxa"/>
          </w:tcPr>
          <w:p w14:paraId="1C3271F7" w14:textId="77777777" w:rsidR="00C16D42" w:rsidRDefault="00C16D42" w:rsidP="00EF7E8E">
            <w:r>
              <w:t>Metolachlor</w:t>
            </w:r>
          </w:p>
        </w:tc>
        <w:tc>
          <w:tcPr>
            <w:tcW w:w="2254" w:type="dxa"/>
          </w:tcPr>
          <w:p w14:paraId="564ACB06" w14:textId="77777777" w:rsidR="00C16D42" w:rsidRDefault="00C16D42" w:rsidP="00EF7E8E">
            <w:pPr>
              <w:jc w:val="center"/>
            </w:pPr>
            <w:r w:rsidRPr="00A00E1F">
              <w:t>0.01</w:t>
            </w:r>
          </w:p>
        </w:tc>
      </w:tr>
      <w:tr w:rsidR="00C16D42" w14:paraId="44748F7A" w14:textId="77777777" w:rsidTr="00EF7E8E">
        <w:tc>
          <w:tcPr>
            <w:tcW w:w="2254" w:type="dxa"/>
          </w:tcPr>
          <w:p w14:paraId="68F65F89" w14:textId="77777777" w:rsidR="00C16D42" w:rsidRDefault="00C16D42" w:rsidP="00EF7E8E">
            <w:r>
              <w:t>Chlorpyrifos</w:t>
            </w:r>
          </w:p>
        </w:tc>
        <w:tc>
          <w:tcPr>
            <w:tcW w:w="2254" w:type="dxa"/>
          </w:tcPr>
          <w:p w14:paraId="4EBBFB16" w14:textId="77777777" w:rsidR="00C16D42" w:rsidRDefault="00C16D42" w:rsidP="00EF7E8E">
            <w:pPr>
              <w:jc w:val="center"/>
            </w:pPr>
            <w:r w:rsidRPr="00C67ACC">
              <w:t>0.02</w:t>
            </w:r>
          </w:p>
        </w:tc>
        <w:tc>
          <w:tcPr>
            <w:tcW w:w="2254" w:type="dxa"/>
          </w:tcPr>
          <w:p w14:paraId="1C9C5F8C" w14:textId="77777777" w:rsidR="00C16D42" w:rsidRDefault="00C16D42" w:rsidP="00EF7E8E">
            <w:r>
              <w:t>Metribuzin</w:t>
            </w:r>
          </w:p>
        </w:tc>
        <w:tc>
          <w:tcPr>
            <w:tcW w:w="2254" w:type="dxa"/>
          </w:tcPr>
          <w:p w14:paraId="360A4E8F" w14:textId="77777777" w:rsidR="00C16D42" w:rsidRDefault="00C16D42" w:rsidP="00EF7E8E">
            <w:pPr>
              <w:jc w:val="center"/>
            </w:pPr>
            <w:r>
              <w:t>0.02</w:t>
            </w:r>
          </w:p>
        </w:tc>
      </w:tr>
      <w:tr w:rsidR="00C16D42" w14:paraId="663275E1" w14:textId="77777777" w:rsidTr="00EF7E8E">
        <w:tc>
          <w:tcPr>
            <w:tcW w:w="2254" w:type="dxa"/>
          </w:tcPr>
          <w:p w14:paraId="46B118C1" w14:textId="77777777" w:rsidR="00C16D42" w:rsidRDefault="00C16D42" w:rsidP="00EF7E8E">
            <w:r>
              <w:t>Diazinon</w:t>
            </w:r>
          </w:p>
        </w:tc>
        <w:tc>
          <w:tcPr>
            <w:tcW w:w="2254" w:type="dxa"/>
          </w:tcPr>
          <w:p w14:paraId="130F915D" w14:textId="77777777" w:rsidR="00C16D42" w:rsidRDefault="00C16D42" w:rsidP="00EF7E8E">
            <w:pPr>
              <w:jc w:val="center"/>
            </w:pPr>
            <w:r>
              <w:t>0.01</w:t>
            </w:r>
          </w:p>
        </w:tc>
        <w:tc>
          <w:tcPr>
            <w:tcW w:w="2254" w:type="dxa"/>
          </w:tcPr>
          <w:p w14:paraId="574849D1" w14:textId="77777777" w:rsidR="00C16D42" w:rsidRDefault="00C16D42" w:rsidP="00EF7E8E">
            <w:proofErr w:type="spellStart"/>
            <w:r>
              <w:t>Metsulfuron</w:t>
            </w:r>
            <w:proofErr w:type="spellEnd"/>
            <w:r>
              <w:t>-methyl</w:t>
            </w:r>
          </w:p>
        </w:tc>
        <w:tc>
          <w:tcPr>
            <w:tcW w:w="2254" w:type="dxa"/>
          </w:tcPr>
          <w:p w14:paraId="0B44B723" w14:textId="77777777" w:rsidR="00C16D42" w:rsidRDefault="00C16D42" w:rsidP="00EF7E8E">
            <w:pPr>
              <w:jc w:val="center"/>
            </w:pPr>
            <w:r w:rsidRPr="00646F89">
              <w:t>0.02</w:t>
            </w:r>
          </w:p>
        </w:tc>
      </w:tr>
      <w:tr w:rsidR="00C16D42" w14:paraId="78DF5883" w14:textId="77777777" w:rsidTr="00EF7E8E">
        <w:tc>
          <w:tcPr>
            <w:tcW w:w="2254" w:type="dxa"/>
          </w:tcPr>
          <w:p w14:paraId="38E13379" w14:textId="77777777" w:rsidR="00C16D42" w:rsidRDefault="00C16D42" w:rsidP="00EF7E8E">
            <w:r>
              <w:t>Diuron</w:t>
            </w:r>
          </w:p>
        </w:tc>
        <w:tc>
          <w:tcPr>
            <w:tcW w:w="2254" w:type="dxa"/>
          </w:tcPr>
          <w:p w14:paraId="328070AA" w14:textId="77777777" w:rsidR="00C16D42" w:rsidRDefault="00C16D42" w:rsidP="00EF7E8E">
            <w:pPr>
              <w:jc w:val="center"/>
            </w:pPr>
            <w:r w:rsidRPr="008C2F68">
              <w:t>0.02</w:t>
            </w:r>
          </w:p>
        </w:tc>
        <w:tc>
          <w:tcPr>
            <w:tcW w:w="2254" w:type="dxa"/>
          </w:tcPr>
          <w:p w14:paraId="046EFD15" w14:textId="77777777" w:rsidR="00C16D42" w:rsidRDefault="00C16D42" w:rsidP="00EF7E8E">
            <w:r>
              <w:t>Pendimethalin</w:t>
            </w:r>
          </w:p>
        </w:tc>
        <w:tc>
          <w:tcPr>
            <w:tcW w:w="2254" w:type="dxa"/>
          </w:tcPr>
          <w:p w14:paraId="30EFC182" w14:textId="77777777" w:rsidR="00C16D42" w:rsidRDefault="00C16D42" w:rsidP="00EF7E8E">
            <w:pPr>
              <w:jc w:val="center"/>
            </w:pPr>
            <w:r w:rsidRPr="00646F89">
              <w:t>0.02</w:t>
            </w:r>
          </w:p>
        </w:tc>
      </w:tr>
      <w:tr w:rsidR="00C16D42" w14:paraId="47A03BD9" w14:textId="77777777" w:rsidTr="00EF7E8E">
        <w:tc>
          <w:tcPr>
            <w:tcW w:w="2254" w:type="dxa"/>
          </w:tcPr>
          <w:p w14:paraId="2B5393F3" w14:textId="77777777" w:rsidR="00C16D42" w:rsidRDefault="00C16D42" w:rsidP="00EF7E8E">
            <w:r>
              <w:t>Fipronil</w:t>
            </w:r>
          </w:p>
        </w:tc>
        <w:tc>
          <w:tcPr>
            <w:tcW w:w="2254" w:type="dxa"/>
          </w:tcPr>
          <w:p w14:paraId="405F9C95" w14:textId="77777777" w:rsidR="00C16D42" w:rsidRDefault="00C16D42" w:rsidP="00EF7E8E">
            <w:pPr>
              <w:jc w:val="center"/>
            </w:pPr>
            <w:r w:rsidRPr="008C2F68">
              <w:t>0.02</w:t>
            </w:r>
          </w:p>
        </w:tc>
        <w:tc>
          <w:tcPr>
            <w:tcW w:w="2254" w:type="dxa"/>
          </w:tcPr>
          <w:p w14:paraId="2F06C8A9" w14:textId="77777777" w:rsidR="00C16D42" w:rsidRDefault="00C16D42" w:rsidP="00EF7E8E">
            <w:proofErr w:type="spellStart"/>
            <w:r>
              <w:t>Prometryn</w:t>
            </w:r>
            <w:proofErr w:type="spellEnd"/>
          </w:p>
        </w:tc>
        <w:tc>
          <w:tcPr>
            <w:tcW w:w="2254" w:type="dxa"/>
          </w:tcPr>
          <w:p w14:paraId="324CCEA4" w14:textId="77777777" w:rsidR="00C16D42" w:rsidRDefault="00C16D42" w:rsidP="00EF7E8E">
            <w:pPr>
              <w:jc w:val="center"/>
            </w:pPr>
            <w:r w:rsidRPr="00646F89">
              <w:t>0.02</w:t>
            </w:r>
          </w:p>
        </w:tc>
      </w:tr>
      <w:tr w:rsidR="00C16D42" w14:paraId="4B9E8D83" w14:textId="77777777" w:rsidTr="00EF7E8E">
        <w:tc>
          <w:tcPr>
            <w:tcW w:w="2254" w:type="dxa"/>
          </w:tcPr>
          <w:p w14:paraId="6924DE9A" w14:textId="77777777" w:rsidR="00C16D42" w:rsidRDefault="00C16D42" w:rsidP="00EF7E8E">
            <w:proofErr w:type="spellStart"/>
            <w:r>
              <w:t>Fluroxypyr</w:t>
            </w:r>
            <w:proofErr w:type="spellEnd"/>
          </w:p>
        </w:tc>
        <w:tc>
          <w:tcPr>
            <w:tcW w:w="2254" w:type="dxa"/>
          </w:tcPr>
          <w:p w14:paraId="467CB3EE" w14:textId="77777777" w:rsidR="00C16D42" w:rsidRDefault="00C16D42" w:rsidP="00EF7E8E">
            <w:pPr>
              <w:jc w:val="center"/>
            </w:pPr>
            <w:r>
              <w:t>0.05</w:t>
            </w:r>
          </w:p>
        </w:tc>
        <w:tc>
          <w:tcPr>
            <w:tcW w:w="2254" w:type="dxa"/>
          </w:tcPr>
          <w:p w14:paraId="390F8036" w14:textId="77777777" w:rsidR="00C16D42" w:rsidRDefault="00C16D42" w:rsidP="00EF7E8E">
            <w:r>
              <w:t>Simazine</w:t>
            </w:r>
          </w:p>
        </w:tc>
        <w:tc>
          <w:tcPr>
            <w:tcW w:w="2254" w:type="dxa"/>
          </w:tcPr>
          <w:p w14:paraId="22B66DC9" w14:textId="77777777" w:rsidR="00C16D42" w:rsidRDefault="00C16D42" w:rsidP="00EF7E8E">
            <w:pPr>
              <w:jc w:val="center"/>
            </w:pPr>
            <w:r w:rsidRPr="00441EF0">
              <w:t>0.01</w:t>
            </w:r>
          </w:p>
        </w:tc>
      </w:tr>
      <w:tr w:rsidR="00C16D42" w14:paraId="6AA3652D" w14:textId="77777777" w:rsidTr="00EF7E8E">
        <w:tc>
          <w:tcPr>
            <w:tcW w:w="2254" w:type="dxa"/>
          </w:tcPr>
          <w:p w14:paraId="1CA7BE19" w14:textId="77777777" w:rsidR="00C16D42" w:rsidRDefault="00C16D42" w:rsidP="00EF7E8E">
            <w:proofErr w:type="spellStart"/>
            <w:r>
              <w:t>Haloxyfop</w:t>
            </w:r>
            <w:proofErr w:type="spellEnd"/>
          </w:p>
        </w:tc>
        <w:tc>
          <w:tcPr>
            <w:tcW w:w="2254" w:type="dxa"/>
          </w:tcPr>
          <w:p w14:paraId="6A3480F3" w14:textId="77777777" w:rsidR="00C16D42" w:rsidRDefault="00C16D42" w:rsidP="00EF7E8E">
            <w:pPr>
              <w:jc w:val="center"/>
            </w:pPr>
            <w:r>
              <w:t>0.02</w:t>
            </w:r>
          </w:p>
        </w:tc>
        <w:tc>
          <w:tcPr>
            <w:tcW w:w="2254" w:type="dxa"/>
          </w:tcPr>
          <w:p w14:paraId="7B43C922" w14:textId="77777777" w:rsidR="00C16D42" w:rsidRDefault="00C16D42" w:rsidP="00EF7E8E">
            <w:proofErr w:type="spellStart"/>
            <w:r>
              <w:t>Tebuthiuron</w:t>
            </w:r>
            <w:proofErr w:type="spellEnd"/>
          </w:p>
        </w:tc>
        <w:tc>
          <w:tcPr>
            <w:tcW w:w="2254" w:type="dxa"/>
          </w:tcPr>
          <w:p w14:paraId="72881BE7" w14:textId="77777777" w:rsidR="00C16D42" w:rsidRDefault="00C16D42" w:rsidP="00EF7E8E">
            <w:pPr>
              <w:jc w:val="center"/>
            </w:pPr>
            <w:r w:rsidRPr="00441EF0">
              <w:t>0.01</w:t>
            </w:r>
          </w:p>
        </w:tc>
      </w:tr>
      <w:tr w:rsidR="00C16D42" w14:paraId="3125E1FE" w14:textId="77777777" w:rsidTr="00EF7E8E">
        <w:tc>
          <w:tcPr>
            <w:tcW w:w="2254" w:type="dxa"/>
          </w:tcPr>
          <w:p w14:paraId="196D5DB8" w14:textId="77777777" w:rsidR="00C16D42" w:rsidRDefault="00C16D42" w:rsidP="00EF7E8E">
            <w:r>
              <w:t>Hexazinone</w:t>
            </w:r>
          </w:p>
        </w:tc>
        <w:tc>
          <w:tcPr>
            <w:tcW w:w="2254" w:type="dxa"/>
          </w:tcPr>
          <w:p w14:paraId="13B124AD" w14:textId="77777777" w:rsidR="00C16D42" w:rsidRDefault="00C16D42" w:rsidP="00EF7E8E">
            <w:pPr>
              <w:jc w:val="center"/>
            </w:pPr>
            <w:r w:rsidRPr="0090623C">
              <w:t>0.01</w:t>
            </w:r>
          </w:p>
        </w:tc>
        <w:tc>
          <w:tcPr>
            <w:tcW w:w="2254" w:type="dxa"/>
          </w:tcPr>
          <w:p w14:paraId="0DD8C99B" w14:textId="77777777" w:rsidR="00C16D42" w:rsidRDefault="00C16D42" w:rsidP="00EF7E8E">
            <w:r>
              <w:t>Terbuthylazine</w:t>
            </w:r>
          </w:p>
        </w:tc>
        <w:tc>
          <w:tcPr>
            <w:tcW w:w="2254" w:type="dxa"/>
          </w:tcPr>
          <w:p w14:paraId="50BB0118" w14:textId="77777777" w:rsidR="00C16D42" w:rsidRDefault="00C16D42" w:rsidP="00EF7E8E">
            <w:pPr>
              <w:jc w:val="center"/>
            </w:pPr>
            <w:r w:rsidRPr="00441EF0">
              <w:t>0.01</w:t>
            </w:r>
          </w:p>
        </w:tc>
      </w:tr>
      <w:tr w:rsidR="00C16D42" w14:paraId="16462B1F" w14:textId="77777777" w:rsidTr="00EF7E8E">
        <w:tc>
          <w:tcPr>
            <w:tcW w:w="2254" w:type="dxa"/>
          </w:tcPr>
          <w:p w14:paraId="155B92CF" w14:textId="77777777" w:rsidR="00C16D42" w:rsidRDefault="00C16D42" w:rsidP="00EF7E8E">
            <w:proofErr w:type="spellStart"/>
            <w:r>
              <w:t>Imazapic</w:t>
            </w:r>
            <w:proofErr w:type="spellEnd"/>
          </w:p>
        </w:tc>
        <w:tc>
          <w:tcPr>
            <w:tcW w:w="2254" w:type="dxa"/>
          </w:tcPr>
          <w:p w14:paraId="751BD840" w14:textId="77777777" w:rsidR="00C16D42" w:rsidRDefault="00C16D42" w:rsidP="00EF7E8E">
            <w:pPr>
              <w:jc w:val="center"/>
            </w:pPr>
            <w:r w:rsidRPr="0090623C">
              <w:t>0.01</w:t>
            </w:r>
          </w:p>
        </w:tc>
        <w:tc>
          <w:tcPr>
            <w:tcW w:w="2254" w:type="dxa"/>
          </w:tcPr>
          <w:p w14:paraId="48441346" w14:textId="77777777" w:rsidR="00C16D42" w:rsidRDefault="00C16D42" w:rsidP="00EF7E8E">
            <w:proofErr w:type="spellStart"/>
            <w:r>
              <w:t>Tricopyr</w:t>
            </w:r>
            <w:proofErr w:type="spellEnd"/>
          </w:p>
        </w:tc>
        <w:tc>
          <w:tcPr>
            <w:tcW w:w="2254" w:type="dxa"/>
          </w:tcPr>
          <w:p w14:paraId="76A4405D" w14:textId="77777777" w:rsidR="00C16D42" w:rsidRDefault="00C16D42" w:rsidP="00EF7E8E">
            <w:pPr>
              <w:jc w:val="center"/>
            </w:pPr>
            <w:r>
              <w:t>0.05</w:t>
            </w:r>
          </w:p>
        </w:tc>
      </w:tr>
    </w:tbl>
    <w:p w14:paraId="247A5A2B" w14:textId="77777777" w:rsidR="00CC4850" w:rsidRPr="00B3017C" w:rsidRDefault="00CC4850" w:rsidP="00B3017C">
      <w:pPr>
        <w:spacing w:line="360" w:lineRule="auto"/>
      </w:pPr>
    </w:p>
    <w:p w14:paraId="4182908E" w14:textId="536BBB7C" w:rsidR="00E65587" w:rsidRPr="00B3017C" w:rsidRDefault="00E65587" w:rsidP="00B3017C">
      <w:pPr>
        <w:spacing w:line="360" w:lineRule="auto"/>
      </w:pPr>
      <w:r w:rsidRPr="00B3017C">
        <w:rPr>
          <w:b/>
          <w:bCs/>
        </w:rPr>
        <w:lastRenderedPageBreak/>
        <w:t xml:space="preserve">Table </w:t>
      </w:r>
      <w:r w:rsidR="00EC154C" w:rsidRPr="00B3017C">
        <w:rPr>
          <w:b/>
          <w:bCs/>
        </w:rPr>
        <w:t>S</w:t>
      </w:r>
      <w:r w:rsidR="00C16D42">
        <w:rPr>
          <w:b/>
          <w:bCs/>
        </w:rPr>
        <w:t>3</w:t>
      </w:r>
      <w:r w:rsidRPr="00B3017C">
        <w:rPr>
          <w:b/>
          <w:bCs/>
        </w:rPr>
        <w:t xml:space="preserve">. </w:t>
      </w:r>
      <w:r w:rsidRPr="00B3017C">
        <w:t xml:space="preserve">Summary of environmental variables and nutrient concentrations in sampled water columns </w:t>
      </w:r>
      <w:r w:rsidR="00B07840" w:rsidRPr="00B3017C">
        <w:t xml:space="preserve">(mean </w:t>
      </w:r>
      <w:r w:rsidR="00B07840" w:rsidRPr="00B3017C">
        <w:rPr>
          <w:color w:val="000000"/>
        </w:rPr>
        <w:t xml:space="preserve">± SE) </w:t>
      </w:r>
      <w:r w:rsidRPr="00B3017C">
        <w:t xml:space="preserve">in the dry (2018) season. Values exceeding default trigger values from water quality guidelines are in bold text </w:t>
      </w:r>
      <w:r w:rsidRPr="00B3017C">
        <w:fldChar w:fldCharType="begin"/>
      </w:r>
      <w:r w:rsidRPr="00B3017C">
        <w:instrText xml:space="preserve"> ADDIN EN.CITE &lt;EndNote&gt;&lt;Cite&gt;&lt;Author&gt;ANZ&lt;/Author&gt;&lt;Year&gt;2018&lt;/Year&gt;&lt;RecNum&gt;239&lt;/RecNum&gt;&lt;DisplayText&gt;(ANZ, 2018)&lt;/DisplayText&gt;&lt;record&gt;&lt;rec-number&gt;239&lt;/rec-number&gt;&lt;foreign-keys&gt;&lt;key app="EN" db-id="xxx0e0e2pwxewaed2d6xxsz002wzwxw9fw2w" timestamp="1629869742" guid="42e7d679-31bc-4a18-abc4-44740e6cf4b1"&gt;239&lt;/key&gt;&lt;/foreign-keys&gt;&lt;ref-type name="Web Page"&gt;12&lt;/ref-type&gt;&lt;contributors&gt;&lt;authors&gt;&lt;author&gt;ANZ&lt;/author&gt;&lt;/authors&gt;&lt;/contributors&gt;&lt;titles&gt;&lt;title&gt;Australian and New Zealand Guidelines for Fresh and Marine Water Quality&lt;/title&gt;&lt;/titles&gt;&lt;volume&gt;2021&lt;/volume&gt;&lt;number&gt;25 August&lt;/number&gt;&lt;dates&gt;&lt;year&gt;2018&lt;/year&gt;&lt;/dates&gt;&lt;pub-location&gt;Canberra, ACT, Australia&lt;/pub-location&gt;&lt;publisher&gt;AU and NZ governments, and AU State and Territory governments&lt;/publisher&gt;&lt;urls&gt;&lt;related-urls&gt;&lt;url&gt;https://www.waterquality.gov.au/anz-guidelines&lt;/url&gt;&lt;/related-urls&gt;&lt;/urls&gt;&lt;/record&gt;&lt;/Cite&gt;&lt;/EndNote&gt;</w:instrText>
      </w:r>
      <w:r w:rsidRPr="00B3017C">
        <w:fldChar w:fldCharType="separate"/>
      </w:r>
      <w:r w:rsidRPr="00B3017C">
        <w:rPr>
          <w:noProof/>
        </w:rPr>
        <w:t>(ANZ, 2018)</w:t>
      </w:r>
      <w:r w:rsidRPr="00B3017C">
        <w:fldChar w:fldCharType="end"/>
      </w:r>
      <w:r w:rsidRPr="00B3017C">
        <w:t xml:space="preserve">. A complete listing of all measured parameters is available in </w:t>
      </w:r>
      <w:r w:rsidR="00F909F6" w:rsidRPr="00B3017C">
        <w:t>Supplementary Sheet S4</w:t>
      </w:r>
      <w:r w:rsidRPr="00B3017C">
        <w:t xml:space="preserve"> </w:t>
      </w:r>
      <w:r w:rsidR="005727C0" w:rsidRPr="00B3017C">
        <w:t>(</w:t>
      </w:r>
      <w:r w:rsidR="00ED1ABF">
        <w:t>Nitrogen</w:t>
      </w:r>
      <w:r w:rsidR="005727C0" w:rsidRPr="00B3017C">
        <w:t xml:space="preserve">: Total </w:t>
      </w:r>
      <w:proofErr w:type="spellStart"/>
      <w:r w:rsidR="005727C0" w:rsidRPr="00B3017C">
        <w:t>Kjeldahl</w:t>
      </w:r>
      <w:proofErr w:type="spellEnd"/>
      <w:r w:rsidR="005727C0" w:rsidRPr="00B3017C">
        <w:t xml:space="preserve"> Nitrogen; </w:t>
      </w:r>
      <w:r w:rsidR="00ED1ABF">
        <w:t>Phosphorus</w:t>
      </w:r>
      <w:r w:rsidR="005727C0" w:rsidRPr="00B3017C">
        <w:t xml:space="preserve">: Total </w:t>
      </w:r>
      <w:proofErr w:type="spellStart"/>
      <w:r w:rsidR="005727C0" w:rsidRPr="00B3017C">
        <w:t>Kjeldahl</w:t>
      </w:r>
      <w:proofErr w:type="spellEnd"/>
      <w:r w:rsidR="005727C0" w:rsidRPr="00B3017C">
        <w:t xml:space="preserve"> Phosphorus; DOC: Dissolved Organic Carbon)</w:t>
      </w:r>
    </w:p>
    <w:tbl>
      <w:tblPr>
        <w:tblW w:w="9623" w:type="dxa"/>
        <w:tblLook w:val="04A0" w:firstRow="1" w:lastRow="0" w:firstColumn="1" w:lastColumn="0" w:noHBand="0" w:noVBand="1"/>
      </w:tblPr>
      <w:tblGrid>
        <w:gridCol w:w="1470"/>
        <w:gridCol w:w="1304"/>
        <w:gridCol w:w="1304"/>
        <w:gridCol w:w="1304"/>
        <w:gridCol w:w="1304"/>
        <w:gridCol w:w="1163"/>
        <w:gridCol w:w="882"/>
        <w:gridCol w:w="892"/>
      </w:tblGrid>
      <w:tr w:rsidR="00BD76E7" w:rsidRPr="00B3017C" w14:paraId="125C0B7F" w14:textId="77777777" w:rsidTr="000775B2">
        <w:trPr>
          <w:trHeight w:val="321"/>
        </w:trPr>
        <w:tc>
          <w:tcPr>
            <w:tcW w:w="147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AE454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Variable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637E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6BFE33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St. Helen's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03BD7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Ck</w:t>
            </w:r>
          </w:p>
        </w:tc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88A7B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Harbour</w:t>
            </w:r>
          </w:p>
        </w:tc>
        <w:tc>
          <w:tcPr>
            <w:tcW w:w="116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712BE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Guideline Value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AEC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ANOVA</w:t>
            </w:r>
          </w:p>
        </w:tc>
      </w:tr>
      <w:tr w:rsidR="00BD76E7" w:rsidRPr="00B3017C" w14:paraId="633B95DB" w14:textId="77777777" w:rsidTr="000775B2">
        <w:trPr>
          <w:trHeight w:val="321"/>
        </w:trPr>
        <w:tc>
          <w:tcPr>
            <w:tcW w:w="147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31BCA2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E8737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362645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66DE03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5FF4BA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16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3C6308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FED1F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>F</w:t>
            </w:r>
            <w:r w:rsidRPr="00B3017C">
              <w:rPr>
                <w:color w:val="000000"/>
              </w:rPr>
              <w:t xml:space="preserve"> value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86F1E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>P</w:t>
            </w:r>
            <w:r w:rsidRPr="00B3017C">
              <w:rPr>
                <w:color w:val="000000"/>
              </w:rPr>
              <w:t xml:space="preserve"> value</w:t>
            </w:r>
          </w:p>
        </w:tc>
      </w:tr>
      <w:tr w:rsidR="00BD76E7" w:rsidRPr="00B3017C" w14:paraId="6877ED4B" w14:textId="77777777" w:rsidTr="000775B2">
        <w:trPr>
          <w:trHeight w:val="60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0E917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Chlorophyll (ug/L)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2532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2.2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C32A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3.2 </w:t>
            </w:r>
            <w:r w:rsidRPr="00B3017C">
              <w:rPr>
                <w:color w:val="000000"/>
              </w:rPr>
              <w:t>± 0.5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1C720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3.7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D83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0.4 ± 0.06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280CE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30BB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3.81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643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&lt;0.05</w:t>
            </w:r>
          </w:p>
        </w:tc>
      </w:tr>
      <w:tr w:rsidR="00BD76E7" w:rsidRPr="00B3017C" w14:paraId="659CDFCC" w14:textId="77777777" w:rsidTr="000775B2">
        <w:trPr>
          <w:trHeight w:val="60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7497C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Salinity (PSU)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01D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39 ± 0.6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1C516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38.2 ± 0.2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90C4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37.5 ± 0.3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9CC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37.1 ± 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23AA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0EC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4.05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E625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&lt;0.05</w:t>
            </w:r>
          </w:p>
        </w:tc>
      </w:tr>
      <w:tr w:rsidR="00BD76E7" w:rsidRPr="00B3017C" w14:paraId="09B10A99" w14:textId="77777777" w:rsidTr="000775B2">
        <w:trPr>
          <w:trHeight w:val="60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28474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Turbidity (FNU)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2CD5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5.2 ± 1.7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74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3.1 ± 0.8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288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13.4 ± 6.9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1B1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0.8 ± 0.3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901F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1-20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243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717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ns</w:t>
            </w:r>
          </w:p>
        </w:tc>
      </w:tr>
      <w:tr w:rsidR="00BD76E7" w:rsidRPr="00B3017C" w14:paraId="6504CCA3" w14:textId="77777777" w:rsidTr="000775B2">
        <w:trPr>
          <w:trHeight w:val="60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06E1C" w14:textId="11B4F158" w:rsidR="00BD76E7" w:rsidRPr="00B3017C" w:rsidRDefault="00ED1ABF" w:rsidP="000A49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Nitrogen</w:t>
            </w:r>
            <w:r w:rsidR="00BD76E7" w:rsidRPr="00B3017C">
              <w:rPr>
                <w:color w:val="000000"/>
              </w:rPr>
              <w:t xml:space="preserve"> (mg/L)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DC05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0.58 </w:t>
            </w:r>
            <w:r w:rsidRPr="00B3017C">
              <w:rPr>
                <w:color w:val="000000"/>
              </w:rPr>
              <w:t>± 0.06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A054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0.65 </w:t>
            </w:r>
            <w:r w:rsidRPr="00B3017C">
              <w:rPr>
                <w:color w:val="000000"/>
              </w:rPr>
              <w:t>± 0.007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A1AA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0.64 </w:t>
            </w:r>
            <w:r w:rsidRPr="00B3017C">
              <w:rPr>
                <w:color w:val="000000"/>
              </w:rPr>
              <w:t>± 0.005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C6DB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0.63 </w:t>
            </w:r>
            <w:r w:rsidRPr="00B3017C">
              <w:rPr>
                <w:color w:val="000000"/>
              </w:rPr>
              <w:t>± 0.01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7A01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0.25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8438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0.73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11C3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ns</w:t>
            </w:r>
          </w:p>
        </w:tc>
      </w:tr>
      <w:tr w:rsidR="00BD76E7" w:rsidRPr="00B3017C" w14:paraId="58CC5E0E" w14:textId="77777777" w:rsidTr="000775B2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B74D1" w14:textId="2DF0D4EB" w:rsidR="00BD76E7" w:rsidRPr="00B3017C" w:rsidRDefault="00ED1ABF" w:rsidP="000A49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Phosphorus</w:t>
            </w:r>
            <w:r w:rsidR="00BD76E7" w:rsidRPr="00B3017C">
              <w:rPr>
                <w:color w:val="000000"/>
              </w:rPr>
              <w:t xml:space="preserve"> (mg/L)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231C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0.11 </w:t>
            </w:r>
            <w:r w:rsidRPr="00B3017C">
              <w:rPr>
                <w:color w:val="000000"/>
              </w:rPr>
              <w:t>± 0.008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B0F3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0.11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0.0</w:t>
            </w:r>
            <w:r w:rsidRPr="00B3017C">
              <w:rPr>
                <w:color w:val="000000"/>
              </w:rPr>
              <w:t>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5AEE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0.12 </w:t>
            </w:r>
            <w:r w:rsidRPr="00B3017C">
              <w:rPr>
                <w:color w:val="000000"/>
              </w:rPr>
              <w:t>± 0.002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3194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0.12 </w:t>
            </w:r>
            <w:r w:rsidRPr="00B3017C">
              <w:rPr>
                <w:color w:val="000000"/>
              </w:rPr>
              <w:t>± 0.001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4E1C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0.02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F938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1.95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B67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ns</w:t>
            </w:r>
          </w:p>
        </w:tc>
      </w:tr>
      <w:tr w:rsidR="00BD76E7" w:rsidRPr="00B3017C" w14:paraId="3508B263" w14:textId="77777777" w:rsidTr="000775B2">
        <w:trPr>
          <w:trHeight w:val="602"/>
        </w:trPr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122F7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DOC (mg/L)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73C7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1.92 ± 0.21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6854F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1.75 ± 0.1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4DB67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1.24 ± 0.06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1BEA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0.88 ± 0.03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B19E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C9C16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9.42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CDF8B" w14:textId="0D2CBD03" w:rsidR="00BD76E7" w:rsidRPr="00B3017C" w:rsidRDefault="00523F11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&lt;0.001</w:t>
            </w:r>
          </w:p>
        </w:tc>
      </w:tr>
    </w:tbl>
    <w:p w14:paraId="1EC215AC" w14:textId="77777777" w:rsidR="00BD76E7" w:rsidRPr="00B3017C" w:rsidRDefault="00BD76E7" w:rsidP="00B3017C">
      <w:pPr>
        <w:spacing w:line="360" w:lineRule="auto"/>
      </w:pPr>
    </w:p>
    <w:p w14:paraId="279CD122" w14:textId="460FD287" w:rsidR="00BD76E7" w:rsidRPr="00B3017C" w:rsidRDefault="00BD76E7" w:rsidP="00B3017C">
      <w:pPr>
        <w:spacing w:line="360" w:lineRule="auto"/>
      </w:pPr>
    </w:p>
    <w:p w14:paraId="6C880F57" w14:textId="16DA2099" w:rsidR="00BD76E7" w:rsidRPr="00B3017C" w:rsidRDefault="00BD76E7" w:rsidP="00B3017C">
      <w:pPr>
        <w:spacing w:line="360" w:lineRule="auto"/>
      </w:pPr>
      <w:r w:rsidRPr="00B3017C">
        <w:rPr>
          <w:b/>
          <w:bCs/>
        </w:rPr>
        <w:t>Table S</w:t>
      </w:r>
      <w:r w:rsidR="00C16D42">
        <w:rPr>
          <w:b/>
          <w:bCs/>
        </w:rPr>
        <w:t>4</w:t>
      </w:r>
      <w:r w:rsidRPr="00B3017C">
        <w:rPr>
          <w:b/>
          <w:bCs/>
        </w:rPr>
        <w:t xml:space="preserve">. </w:t>
      </w:r>
      <w:r w:rsidRPr="00B3017C">
        <w:t xml:space="preserve">Summary of environmental variables and nutrient concentrations in sampled water columns (mean </w:t>
      </w:r>
      <w:r w:rsidRPr="00B3017C">
        <w:rPr>
          <w:color w:val="000000"/>
        </w:rPr>
        <w:t xml:space="preserve">± SE) </w:t>
      </w:r>
      <w:r w:rsidRPr="00B3017C">
        <w:t xml:space="preserve">in the wet (2020) season. Values exceeding default trigger values from water quality guidelines are in bold text </w:t>
      </w:r>
      <w:r w:rsidRPr="00B3017C">
        <w:fldChar w:fldCharType="begin"/>
      </w:r>
      <w:r w:rsidRPr="00B3017C">
        <w:instrText xml:space="preserve"> ADDIN EN.CITE &lt;EndNote&gt;&lt;Cite&gt;&lt;Author&gt;ANZ&lt;/Author&gt;&lt;Year&gt;2018&lt;/Year&gt;&lt;RecNum&gt;239&lt;/RecNum&gt;&lt;DisplayText&gt;(ANZ, 2018)&lt;/DisplayText&gt;&lt;record&gt;&lt;rec-number&gt;239&lt;/rec-number&gt;&lt;foreign-keys&gt;&lt;key app="EN" db-id="xxx0e0e2pwxewaed2d6xxsz002wzwxw9fw2w" timestamp="1629869742" guid="42e7d679-31bc-4a18-abc4-44740e6cf4b1"&gt;239&lt;/key&gt;&lt;/foreign-keys&gt;&lt;ref-type name="Web Page"&gt;12&lt;/ref-type&gt;&lt;contributors&gt;&lt;authors&gt;&lt;author&gt;ANZ&lt;/author&gt;&lt;/authors&gt;&lt;/contributors&gt;&lt;titles&gt;&lt;title&gt;Australian and New Zealand Guidelines for Fresh and Marine Water Quality&lt;/title&gt;&lt;/titles&gt;&lt;volume&gt;2021&lt;/volume&gt;&lt;number&gt;25 August&lt;/number&gt;&lt;dates&gt;&lt;year&gt;2018&lt;/year&gt;&lt;/dates&gt;&lt;pub-location&gt;Canberra, ACT, Australia&lt;/pub-location&gt;&lt;publisher&gt;AU and NZ governments, and AU State and Territory governments&lt;/publisher&gt;&lt;urls&gt;&lt;related-urls&gt;&lt;url&gt;https://www.waterquality.gov.au/anz-guidelines&lt;/url&gt;&lt;/related-urls&gt;&lt;/urls&gt;&lt;/record&gt;&lt;/Cite&gt;&lt;/EndNote&gt;</w:instrText>
      </w:r>
      <w:r w:rsidRPr="00B3017C">
        <w:fldChar w:fldCharType="separate"/>
      </w:r>
      <w:r w:rsidRPr="00B3017C">
        <w:rPr>
          <w:noProof/>
        </w:rPr>
        <w:t>(ANZ, 2018)</w:t>
      </w:r>
      <w:r w:rsidRPr="00B3017C">
        <w:fldChar w:fldCharType="end"/>
      </w:r>
      <w:r w:rsidRPr="00B3017C">
        <w:t>. A complete listing of all measured parameters is available in Supplementary Sheet S4 (</w:t>
      </w:r>
      <w:r w:rsidR="00ED1ABF">
        <w:t>Nitrogen</w:t>
      </w:r>
      <w:r w:rsidRPr="00B3017C">
        <w:t xml:space="preserve">: Total </w:t>
      </w:r>
      <w:proofErr w:type="spellStart"/>
      <w:r w:rsidRPr="00B3017C">
        <w:t>Kjeldahl</w:t>
      </w:r>
      <w:proofErr w:type="spellEnd"/>
      <w:r w:rsidRPr="00B3017C">
        <w:t xml:space="preserve"> Nitrogen; </w:t>
      </w:r>
      <w:r w:rsidR="00ED1ABF">
        <w:t>Phosphorus</w:t>
      </w:r>
      <w:r w:rsidRPr="00B3017C">
        <w:t xml:space="preserve">: Total </w:t>
      </w:r>
      <w:proofErr w:type="spellStart"/>
      <w:r w:rsidRPr="00B3017C">
        <w:t>Kjeldahl</w:t>
      </w:r>
      <w:proofErr w:type="spellEnd"/>
      <w:r w:rsidRPr="00B3017C">
        <w:t xml:space="preserve"> Phosphorus; DOC: Dissolved Organic Carbon)</w:t>
      </w:r>
    </w:p>
    <w:tbl>
      <w:tblPr>
        <w:tblW w:w="9672" w:type="dxa"/>
        <w:tblLayout w:type="fixed"/>
        <w:tblLook w:val="04A0" w:firstRow="1" w:lastRow="0" w:firstColumn="1" w:lastColumn="0" w:noHBand="0" w:noVBand="1"/>
      </w:tblPr>
      <w:tblGrid>
        <w:gridCol w:w="1432"/>
        <w:gridCol w:w="1246"/>
        <w:gridCol w:w="1246"/>
        <w:gridCol w:w="1246"/>
        <w:gridCol w:w="1246"/>
        <w:gridCol w:w="1239"/>
        <w:gridCol w:w="826"/>
        <w:gridCol w:w="1191"/>
      </w:tblGrid>
      <w:tr w:rsidR="00AF5E02" w:rsidRPr="00B3017C" w14:paraId="571E6F38" w14:textId="77777777" w:rsidTr="00265D7E">
        <w:trPr>
          <w:trHeight w:val="301"/>
        </w:trPr>
        <w:tc>
          <w:tcPr>
            <w:tcW w:w="143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1F5C3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Variable</w:t>
            </w:r>
          </w:p>
        </w:tc>
        <w:tc>
          <w:tcPr>
            <w:tcW w:w="124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22704B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Gregory</w:t>
            </w:r>
          </w:p>
        </w:tc>
        <w:tc>
          <w:tcPr>
            <w:tcW w:w="124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AC8CF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St. Helen's</w:t>
            </w:r>
          </w:p>
        </w:tc>
        <w:tc>
          <w:tcPr>
            <w:tcW w:w="124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3685B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Sandy Ck</w:t>
            </w:r>
          </w:p>
        </w:tc>
        <w:tc>
          <w:tcPr>
            <w:tcW w:w="124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B39EA3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Harbour</w:t>
            </w:r>
          </w:p>
        </w:tc>
        <w:tc>
          <w:tcPr>
            <w:tcW w:w="123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983B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Guideline Value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0B25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ANOVA</w:t>
            </w:r>
          </w:p>
        </w:tc>
      </w:tr>
      <w:tr w:rsidR="00AF5E02" w:rsidRPr="00B3017C" w14:paraId="5C4F8F0A" w14:textId="77777777" w:rsidTr="00265D7E">
        <w:trPr>
          <w:trHeight w:val="301"/>
        </w:trPr>
        <w:tc>
          <w:tcPr>
            <w:tcW w:w="143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9D9D05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24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9DB550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24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419881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24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84498E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24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06AB5F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123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E92CBC" w14:textId="77777777" w:rsidR="00BD76E7" w:rsidRPr="00B3017C" w:rsidRDefault="00BD76E7" w:rsidP="000A493C">
            <w:pPr>
              <w:rPr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5FE3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>F</w:t>
            </w:r>
            <w:r w:rsidRPr="00B3017C">
              <w:rPr>
                <w:color w:val="000000"/>
              </w:rPr>
              <w:t xml:space="preserve"> value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511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>P</w:t>
            </w:r>
            <w:r w:rsidRPr="00B3017C">
              <w:rPr>
                <w:color w:val="000000"/>
              </w:rPr>
              <w:t xml:space="preserve"> value</w:t>
            </w:r>
          </w:p>
        </w:tc>
      </w:tr>
      <w:tr w:rsidR="00AF5E02" w:rsidRPr="00B3017C" w14:paraId="09A7AA62" w14:textId="77777777" w:rsidTr="00265D7E">
        <w:trPr>
          <w:trHeight w:val="56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F53B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Chlorophyll (ug/L)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6315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4.5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0C58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3.9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8593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6.7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5109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2.5 </w:t>
            </w:r>
            <w:r w:rsidRPr="00B3017C">
              <w:rPr>
                <w:color w:val="000000"/>
              </w:rPr>
              <w:t>±</w:t>
            </w:r>
            <w:r w:rsidRPr="00B3017C">
              <w:rPr>
                <w:b/>
                <w:bCs/>
                <w:color w:val="000000"/>
              </w:rPr>
              <w:t xml:space="preserve"> </w:t>
            </w:r>
            <w:r w:rsidRPr="00B3017C">
              <w:rPr>
                <w:color w:val="000000"/>
              </w:rPr>
              <w:t>0.5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EB13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865C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10.69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3DEF" w14:textId="52C91C0F" w:rsidR="00BD76E7" w:rsidRPr="00B3017C" w:rsidRDefault="00523F11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&lt;0.001</w:t>
            </w:r>
          </w:p>
        </w:tc>
      </w:tr>
      <w:tr w:rsidR="00AF5E02" w:rsidRPr="00B3017C" w14:paraId="5E7502F8" w14:textId="77777777" w:rsidTr="00265D7E">
        <w:trPr>
          <w:trHeight w:val="56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019B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Salinity (PSU)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559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8.5 ± 3.01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8E3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3.4 ± 1.8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048E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7 ± 3.1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A71C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32.6 ± 1.4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8A9D3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D685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12.89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A879" w14:textId="0DC57810" w:rsidR="00BD76E7" w:rsidRPr="00B3017C" w:rsidRDefault="00523F11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&lt;0.001</w:t>
            </w:r>
          </w:p>
        </w:tc>
      </w:tr>
      <w:tr w:rsidR="00AF5E02" w:rsidRPr="00B3017C" w14:paraId="77AD4142" w14:textId="77777777" w:rsidTr="00265D7E">
        <w:trPr>
          <w:trHeight w:val="56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FDC34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Turbidity (FNU)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973F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67.8 </w:t>
            </w:r>
            <w:r w:rsidRPr="00B3017C">
              <w:rPr>
                <w:color w:val="000000"/>
              </w:rPr>
              <w:t>± 18.5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3C5B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79.3 </w:t>
            </w:r>
            <w:r w:rsidRPr="00B3017C">
              <w:rPr>
                <w:color w:val="000000"/>
              </w:rPr>
              <w:t>± 35.7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3B44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35.5 </w:t>
            </w:r>
            <w:r w:rsidRPr="00B3017C">
              <w:rPr>
                <w:color w:val="000000"/>
              </w:rPr>
              <w:t>± 6.3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48C5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55.3 </w:t>
            </w:r>
            <w:r w:rsidRPr="00B3017C">
              <w:rPr>
                <w:color w:val="000000"/>
              </w:rPr>
              <w:t>± 24.5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44F5C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1-20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533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565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ns</w:t>
            </w:r>
          </w:p>
        </w:tc>
      </w:tr>
      <w:tr w:rsidR="00AF5E02" w:rsidRPr="00B3017C" w14:paraId="1052FD15" w14:textId="77777777" w:rsidTr="00265D7E">
        <w:trPr>
          <w:trHeight w:val="56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FBAAF" w14:textId="51956920" w:rsidR="00BD76E7" w:rsidRPr="00B3017C" w:rsidRDefault="00ED1ABF" w:rsidP="000A49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Nitrogen</w:t>
            </w:r>
            <w:r w:rsidR="00BD76E7" w:rsidRPr="00B3017C">
              <w:rPr>
                <w:color w:val="000000"/>
              </w:rPr>
              <w:t xml:space="preserve"> (mg/L)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C077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0.92 </w:t>
            </w:r>
            <w:r w:rsidRPr="00B3017C">
              <w:rPr>
                <w:color w:val="000000"/>
              </w:rPr>
              <w:t>± 0.07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567E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0.6 </w:t>
            </w:r>
            <w:r w:rsidRPr="00B3017C">
              <w:rPr>
                <w:color w:val="000000"/>
              </w:rPr>
              <w:t>± 0.05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01A2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0.92</w:t>
            </w:r>
            <w:r w:rsidRPr="00B3017C">
              <w:rPr>
                <w:color w:val="000000"/>
              </w:rPr>
              <w:t xml:space="preserve"> ± 0.08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6005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0.24 ± 0.01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743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1D26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14.8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E7C2" w14:textId="43110327" w:rsidR="00BD76E7" w:rsidRPr="00B3017C" w:rsidRDefault="00523F11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&lt;0.001</w:t>
            </w:r>
          </w:p>
        </w:tc>
      </w:tr>
      <w:tr w:rsidR="00AF5E02" w:rsidRPr="00B3017C" w14:paraId="0C2D0112" w14:textId="77777777" w:rsidTr="00265D7E">
        <w:trPr>
          <w:trHeight w:val="301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3CEFE" w14:textId="4BC9C801" w:rsidR="00BD76E7" w:rsidRPr="00B3017C" w:rsidRDefault="00ED1ABF" w:rsidP="000A49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Phosphorus</w:t>
            </w:r>
            <w:r w:rsidR="00BD76E7" w:rsidRPr="00B3017C">
              <w:rPr>
                <w:color w:val="000000"/>
              </w:rPr>
              <w:t xml:space="preserve"> (mg/L)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C13D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>0.16</w:t>
            </w:r>
            <w:r w:rsidRPr="00B3017C">
              <w:rPr>
                <w:color w:val="000000"/>
              </w:rPr>
              <w:t xml:space="preserve"> ± 0.017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0845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0.08 </w:t>
            </w:r>
            <w:r w:rsidRPr="00B3017C">
              <w:rPr>
                <w:color w:val="000000"/>
              </w:rPr>
              <w:t>± 0.012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0102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0.21 </w:t>
            </w:r>
            <w:r w:rsidRPr="00B3017C">
              <w:rPr>
                <w:color w:val="000000"/>
              </w:rPr>
              <w:t>± 0.036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735" w14:textId="77777777" w:rsidR="00BD76E7" w:rsidRPr="00B3017C" w:rsidRDefault="00BD76E7" w:rsidP="000A493C">
            <w:pPr>
              <w:jc w:val="center"/>
              <w:rPr>
                <w:b/>
                <w:bCs/>
                <w:color w:val="000000"/>
              </w:rPr>
            </w:pPr>
            <w:r w:rsidRPr="00B3017C">
              <w:rPr>
                <w:b/>
                <w:bCs/>
                <w:color w:val="000000"/>
              </w:rPr>
              <w:t xml:space="preserve">0.07 </w:t>
            </w:r>
            <w:r w:rsidRPr="00B3017C">
              <w:rPr>
                <w:color w:val="000000"/>
              </w:rPr>
              <w:t>± 0.005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16FEA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0.02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1E74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6.8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15B2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&lt;0.01</w:t>
            </w:r>
          </w:p>
        </w:tc>
      </w:tr>
      <w:tr w:rsidR="00AF5E02" w:rsidRPr="00B3017C" w14:paraId="207576C8" w14:textId="77777777" w:rsidTr="00265D7E">
        <w:trPr>
          <w:trHeight w:val="567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8EB3E1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DOC (mg/L)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79C4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13.14 ± 1.87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21119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9.62 ± 0.76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6E1B8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12.53 ± 1.37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E306D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1.85 ± 0.1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C4A49C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-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BB470" w14:textId="77777777" w:rsidR="00BD76E7" w:rsidRPr="00B3017C" w:rsidRDefault="00BD76E7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7.81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5F645" w14:textId="2A3DF5C4" w:rsidR="00BD76E7" w:rsidRPr="00B3017C" w:rsidRDefault="00523F11" w:rsidP="000A493C">
            <w:pPr>
              <w:jc w:val="center"/>
              <w:rPr>
                <w:color w:val="000000"/>
              </w:rPr>
            </w:pPr>
            <w:r w:rsidRPr="00B3017C">
              <w:rPr>
                <w:color w:val="000000"/>
              </w:rPr>
              <w:t>&lt;0.001</w:t>
            </w:r>
          </w:p>
        </w:tc>
      </w:tr>
    </w:tbl>
    <w:p w14:paraId="2EDCED4B" w14:textId="26AE0BE3" w:rsidR="00BD76E7" w:rsidRPr="00B3017C" w:rsidRDefault="00BD76E7" w:rsidP="00B3017C">
      <w:pPr>
        <w:spacing w:line="360" w:lineRule="auto"/>
      </w:pPr>
    </w:p>
    <w:p w14:paraId="19E73EB5" w14:textId="77777777" w:rsidR="00A25847" w:rsidRPr="00B3017C" w:rsidRDefault="00A25847" w:rsidP="00B3017C">
      <w:pPr>
        <w:spacing w:line="360" w:lineRule="auto"/>
        <w:rPr>
          <w:b/>
          <w:bCs/>
        </w:rPr>
      </w:pPr>
    </w:p>
    <w:p w14:paraId="73907F0E" w14:textId="38959704" w:rsidR="00A25847" w:rsidRPr="00B3017C" w:rsidRDefault="00A25847" w:rsidP="00B3017C">
      <w:pPr>
        <w:spacing w:line="360" w:lineRule="auto"/>
      </w:pPr>
      <w:r w:rsidRPr="00B3017C">
        <w:rPr>
          <w:b/>
          <w:bCs/>
        </w:rPr>
        <w:t>Table S</w:t>
      </w:r>
      <w:r w:rsidR="00C16D42">
        <w:rPr>
          <w:b/>
          <w:bCs/>
        </w:rPr>
        <w:t>5</w:t>
      </w:r>
      <w:r w:rsidRPr="00B3017C">
        <w:rPr>
          <w:b/>
          <w:bCs/>
        </w:rPr>
        <w:t xml:space="preserve">. </w:t>
      </w:r>
      <w:r w:rsidRPr="00B3017C">
        <w:t xml:space="preserve">List of pesticides removed from statistical analyses due to strong </w:t>
      </w:r>
      <w:proofErr w:type="gramStart"/>
      <w:r w:rsidRPr="00B3017C">
        <w:t>correlation</w:t>
      </w:r>
      <w:proofErr w:type="gramEnd"/>
    </w:p>
    <w:p w14:paraId="09673DDE" w14:textId="77777777" w:rsidR="00A25847" w:rsidRPr="00B3017C" w:rsidRDefault="00A25847" w:rsidP="00B3017C">
      <w:pPr>
        <w:spacing w:line="360" w:lineRule="auto"/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5812"/>
        <w:gridCol w:w="3413"/>
      </w:tblGrid>
      <w:tr w:rsidR="00A25847" w:rsidRPr="00B3017C" w14:paraId="1A8BCD4E" w14:textId="77777777" w:rsidTr="000A493C">
        <w:trPr>
          <w:trHeight w:val="304"/>
        </w:trPr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D11D6" w14:textId="77777777" w:rsidR="00A25847" w:rsidRPr="000A493C" w:rsidRDefault="00A25847" w:rsidP="000A493C">
            <w:pPr>
              <w:rPr>
                <w:b/>
                <w:bCs/>
                <w:color w:val="000000"/>
              </w:rPr>
            </w:pPr>
            <w:r w:rsidRPr="000A493C">
              <w:rPr>
                <w:b/>
                <w:bCs/>
                <w:color w:val="000000"/>
              </w:rPr>
              <w:t>Removed pesticide</w:t>
            </w: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234AD" w14:textId="77777777" w:rsidR="00A25847" w:rsidRPr="000A493C" w:rsidRDefault="00A25847" w:rsidP="000A493C">
            <w:pPr>
              <w:rPr>
                <w:b/>
                <w:bCs/>
                <w:color w:val="000000"/>
              </w:rPr>
            </w:pPr>
            <w:r w:rsidRPr="000A493C">
              <w:rPr>
                <w:b/>
                <w:bCs/>
                <w:color w:val="000000"/>
              </w:rPr>
              <w:t>Correlated pesticide included in analysis</w:t>
            </w:r>
          </w:p>
        </w:tc>
      </w:tr>
      <w:tr w:rsidR="00A25847" w:rsidRPr="00B3017C" w14:paraId="5B09CEB7" w14:textId="77777777" w:rsidTr="000A493C">
        <w:trPr>
          <w:trHeight w:val="304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FF7DD" w14:textId="77777777" w:rsidR="00A25847" w:rsidRPr="00B3017C" w:rsidRDefault="00A25847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Isozaflutole</w:t>
            </w:r>
            <w:proofErr w:type="spellEnd"/>
            <w:r w:rsidRPr="00B3017C">
              <w:rPr>
                <w:color w:val="000000"/>
              </w:rPr>
              <w:t xml:space="preserve"> metabolite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9A8D" w14:textId="77777777" w:rsidR="00A25847" w:rsidRPr="00B3017C" w:rsidRDefault="00A25847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Amicarbazone</w:t>
            </w:r>
            <w:proofErr w:type="spellEnd"/>
          </w:p>
        </w:tc>
      </w:tr>
      <w:tr w:rsidR="00A25847" w:rsidRPr="00B3017C" w14:paraId="6447034B" w14:textId="77777777" w:rsidTr="000A493C">
        <w:trPr>
          <w:trHeight w:val="291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C333B" w14:textId="77777777" w:rsidR="00A25847" w:rsidRPr="00B3017C" w:rsidRDefault="00A25847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Desethyl</w:t>
            </w:r>
            <w:proofErr w:type="spellEnd"/>
            <w:r w:rsidRPr="00B3017C">
              <w:rPr>
                <w:color w:val="000000"/>
              </w:rPr>
              <w:t xml:space="preserve"> atrazine and 3,4-dichlorophenylurea (DCPU)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627F0" w14:textId="77777777" w:rsidR="00A25847" w:rsidRPr="00B3017C" w:rsidRDefault="00A25847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Atrazine</w:t>
            </w:r>
          </w:p>
        </w:tc>
      </w:tr>
      <w:tr w:rsidR="00A25847" w:rsidRPr="00B3017C" w14:paraId="0E250369" w14:textId="77777777" w:rsidTr="000A493C">
        <w:trPr>
          <w:trHeight w:val="255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63DAC" w14:textId="77777777" w:rsidR="00A25847" w:rsidRPr="00B3017C" w:rsidRDefault="00A25847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 xml:space="preserve">Metolachlor-OXA and </w:t>
            </w:r>
            <w:proofErr w:type="spellStart"/>
            <w:r w:rsidRPr="00B3017C">
              <w:rPr>
                <w:color w:val="000000"/>
              </w:rPr>
              <w:t>fluroxypyr</w:t>
            </w:r>
            <w:proofErr w:type="spellEnd"/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8B8C3" w14:textId="77777777" w:rsidR="00A25847" w:rsidRPr="00B3017C" w:rsidRDefault="00A25847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Metolachlor</w:t>
            </w:r>
          </w:p>
        </w:tc>
      </w:tr>
      <w:tr w:rsidR="00A25847" w:rsidRPr="00B3017C" w14:paraId="384D8DCE" w14:textId="77777777" w:rsidTr="000A493C">
        <w:trPr>
          <w:trHeight w:val="304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07C48" w14:textId="77777777" w:rsidR="00A25847" w:rsidRPr="00B3017C" w:rsidRDefault="00A25847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Asulam</w:t>
            </w:r>
            <w:proofErr w:type="spellEnd"/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CA548" w14:textId="77777777" w:rsidR="00A25847" w:rsidRPr="00B3017C" w:rsidRDefault="00A25847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Metribuzin</w:t>
            </w:r>
          </w:p>
        </w:tc>
      </w:tr>
      <w:tr w:rsidR="00A25847" w:rsidRPr="00B3017C" w14:paraId="11A7491E" w14:textId="77777777" w:rsidTr="000A493C">
        <w:trPr>
          <w:trHeight w:val="304"/>
        </w:trPr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5D8BA" w14:textId="77777777" w:rsidR="00A25847" w:rsidRPr="00B3017C" w:rsidRDefault="00A25847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Imazapic</w:t>
            </w:r>
            <w:proofErr w:type="spellEnd"/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81696" w14:textId="77777777" w:rsidR="00A25847" w:rsidRPr="00B3017C" w:rsidRDefault="00A25847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Hexazinone</w:t>
            </w:r>
          </w:p>
        </w:tc>
      </w:tr>
    </w:tbl>
    <w:p w14:paraId="59ACC875" w14:textId="77777777" w:rsidR="00A25847" w:rsidRPr="00B3017C" w:rsidRDefault="00A25847" w:rsidP="00B3017C">
      <w:pPr>
        <w:spacing w:line="360" w:lineRule="auto"/>
      </w:pPr>
    </w:p>
    <w:p w14:paraId="282F86B6" w14:textId="424FB9F3" w:rsidR="00E65587" w:rsidRPr="00B3017C" w:rsidRDefault="00E65587" w:rsidP="00B3017C">
      <w:pPr>
        <w:spacing w:line="360" w:lineRule="auto"/>
      </w:pPr>
    </w:p>
    <w:p w14:paraId="3698F267" w14:textId="28DB3CB3" w:rsidR="00E65587" w:rsidRPr="00B3017C" w:rsidRDefault="00E65587" w:rsidP="00B3017C">
      <w:pPr>
        <w:spacing w:line="360" w:lineRule="auto"/>
      </w:pPr>
      <w:r w:rsidRPr="00B3017C">
        <w:rPr>
          <w:b/>
          <w:bCs/>
        </w:rPr>
        <w:t xml:space="preserve">Table </w:t>
      </w:r>
      <w:r w:rsidR="00EC154C" w:rsidRPr="00B3017C">
        <w:rPr>
          <w:b/>
          <w:bCs/>
        </w:rPr>
        <w:t>S</w:t>
      </w:r>
      <w:r w:rsidR="00C16D42">
        <w:rPr>
          <w:b/>
          <w:bCs/>
        </w:rPr>
        <w:t>6</w:t>
      </w:r>
      <w:r w:rsidRPr="00B3017C">
        <w:rPr>
          <w:b/>
          <w:bCs/>
        </w:rPr>
        <w:t xml:space="preserve">. </w:t>
      </w:r>
      <w:r w:rsidRPr="00B3017C">
        <w:t xml:space="preserve">Species of conservation value on the IUCN red list of threatened species </w:t>
      </w:r>
      <w:r w:rsidRPr="00B3017C">
        <w:fldChar w:fldCharType="begin"/>
      </w:r>
      <w:r w:rsidRPr="00B3017C">
        <w:instrText xml:space="preserve"> ADDIN EN.CITE &lt;EndNote&gt;&lt;Cite&gt;&lt;Author&gt;IUCN&lt;/Author&gt;&lt;Year&gt;2021&lt;/Year&gt;&lt;RecNum&gt;373&lt;/RecNum&gt;&lt;DisplayText&gt;(IUCN, 2021)&lt;/DisplayText&gt;&lt;record&gt;&lt;rec-number&gt;373&lt;/rec-number&gt;&lt;foreign-keys&gt;&lt;key app="EN" db-id="xxx0e0e2pwxewaed2d6xxsz002wzwxw9fw2w" timestamp="1635207421" guid="430e11dd-e634-44b7-9028-1b9023faa2e9"&gt;373&lt;/key&gt;&lt;/foreign-keys&gt;&lt;ref-type name="Web Page"&gt;12&lt;/ref-type&gt;&lt;contributors&gt;&lt;authors&gt;&lt;author&gt;IUCN,&lt;/author&gt;&lt;/authors&gt;&lt;/contributors&gt;&lt;titles&gt;&lt;title&gt;The IUCN Red List of Threatened Species. Version 2021-3&lt;/title&gt;&lt;/titles&gt;&lt;volume&gt;2022&lt;/volume&gt;&lt;number&gt;31 January&lt;/number&gt;&lt;dates&gt;&lt;year&gt;2021&lt;/year&gt;&lt;/dates&gt;&lt;urls&gt;&lt;related-urls&gt;&lt;url&gt;https://www.iucnredlist.org&lt;/url&gt;&lt;/related-urls&gt;&lt;/urls&gt;&lt;/record&gt;&lt;/Cite&gt;&lt;/EndNote&gt;</w:instrText>
      </w:r>
      <w:r w:rsidRPr="00B3017C">
        <w:fldChar w:fldCharType="separate"/>
      </w:r>
      <w:r w:rsidRPr="00B3017C">
        <w:rPr>
          <w:noProof/>
        </w:rPr>
        <w:t>(IUCN, 2021)</w:t>
      </w:r>
      <w:r w:rsidRPr="00B3017C">
        <w:fldChar w:fldCharType="end"/>
      </w:r>
      <w:r w:rsidRPr="00B3017C">
        <w:t>. Conservation status CR: Critically endangered, EN: Endangered, VUL: Vulnerable, NT: Near threatened.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1249"/>
        <w:gridCol w:w="1161"/>
        <w:gridCol w:w="1984"/>
      </w:tblGrid>
      <w:tr w:rsidR="00232BA9" w:rsidRPr="00B3017C" w14:paraId="5D1EBB08" w14:textId="77777777" w:rsidTr="0049796B">
        <w:trPr>
          <w:trHeight w:val="606"/>
        </w:trPr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68A87F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Scientific 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4C0F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Common name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3C943C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Conservation status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F91F8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 xml:space="preserve">Primer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FBE91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Location detected</w:t>
            </w:r>
          </w:p>
        </w:tc>
      </w:tr>
      <w:tr w:rsidR="00232BA9" w:rsidRPr="00B3017C" w14:paraId="09836515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A1392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Glaucostegus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granulatus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B6EE" w14:textId="77777777" w:rsidR="00232BA9" w:rsidRPr="00B3017C" w:rsidRDefault="00232BA9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Sharpnose</w:t>
            </w:r>
            <w:proofErr w:type="spellEnd"/>
            <w:r w:rsidRPr="00B3017C">
              <w:rPr>
                <w:color w:val="000000"/>
              </w:rPr>
              <w:t xml:space="preserve"> guitarfish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FC21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FED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035F9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4797F5D9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97F05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Glaucostegus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typus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A92A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Giant guitarfish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7B34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A81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2692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72B49D1C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F5E2D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Rhynchobatus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australiae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9DB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White-spotted guitarfish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611C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35E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Tele01, 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ECAB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632C2862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C1CF5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 xml:space="preserve">Sphyrna </w:t>
            </w:r>
            <w:proofErr w:type="spellStart"/>
            <w:r w:rsidRPr="00B3017C">
              <w:rPr>
                <w:i/>
                <w:iCs/>
                <w:color w:val="000000"/>
              </w:rPr>
              <w:t>lewini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F982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Scalloped hammerhead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BFB83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CR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9C0A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B287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</w:tr>
      <w:tr w:rsidR="00232BA9" w:rsidRPr="00B3017C" w14:paraId="0059EABC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6188F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Aetobatus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narinari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16F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Spotted eagle 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8F73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 xml:space="preserve">EN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9E11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CEF0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45A5462D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EDAF5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Eleutheronema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tetradactylum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2A65F" w14:textId="77777777" w:rsidR="00232BA9" w:rsidRPr="00B3017C" w:rsidRDefault="00232BA9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Fourfinger</w:t>
            </w:r>
            <w:proofErr w:type="spellEnd"/>
            <w:r w:rsidRPr="00B3017C">
              <w:rPr>
                <w:color w:val="000000"/>
              </w:rPr>
              <w:t xml:space="preserve"> threadfin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569A8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013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34545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Sandy Creek, St Helens, Harbour</w:t>
            </w:r>
          </w:p>
        </w:tc>
      </w:tr>
      <w:tr w:rsidR="00232BA9" w:rsidRPr="00B3017C" w14:paraId="4A42611C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20B94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 xml:space="preserve">Himantura </w:t>
            </w:r>
            <w:proofErr w:type="spellStart"/>
            <w:r w:rsidRPr="00B3017C">
              <w:rPr>
                <w:i/>
                <w:iCs/>
                <w:color w:val="000000"/>
              </w:rPr>
              <w:t>uarnak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27CC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 xml:space="preserve">Reticulate whipray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AA0D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28E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2123C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2259607D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45CCA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Rhinoptera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javanica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A79F" w14:textId="77777777" w:rsidR="00232BA9" w:rsidRPr="00B3017C" w:rsidRDefault="00232BA9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Flapnose</w:t>
            </w:r>
            <w:proofErr w:type="spellEnd"/>
            <w:r w:rsidRPr="00B3017C">
              <w:rPr>
                <w:color w:val="000000"/>
              </w:rPr>
              <w:t xml:space="preserve"> 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34A84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75EF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F0C5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Gregory River</w:t>
            </w:r>
          </w:p>
        </w:tc>
      </w:tr>
      <w:tr w:rsidR="00232BA9" w:rsidRPr="00B3017C" w14:paraId="5F0FDE7E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7710D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>Carcharhinus leucas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8F12A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Bull shark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8B24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FA7F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Tele01, 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8AB48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4F6BE20D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772FE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Epinephelus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fuscoguttatus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377B4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Tiger grouper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410E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3A73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12C4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3F0C70D2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F326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Pastinachus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ater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BDE42" w14:textId="77777777" w:rsidR="00232BA9" w:rsidRPr="00B3017C" w:rsidRDefault="00232BA9" w:rsidP="000A493C">
            <w:pPr>
              <w:rPr>
                <w:color w:val="000000"/>
              </w:rPr>
            </w:pPr>
            <w:proofErr w:type="spellStart"/>
            <w:r w:rsidRPr="00B3017C">
              <w:rPr>
                <w:color w:val="000000"/>
              </w:rPr>
              <w:t>Cowtail</w:t>
            </w:r>
            <w:proofErr w:type="spellEnd"/>
            <w:r w:rsidRPr="00B3017C">
              <w:rPr>
                <w:color w:val="000000"/>
              </w:rPr>
              <w:t xml:space="preserve"> stingray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A61B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9E37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Tele01, 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9A42F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5319E66A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108A5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Pateobatis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jenkinsii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59268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Jenkin's whipray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E9246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4FE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B83B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1DDB2AA2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5AFC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Urogymnus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asperrimus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42D4B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Porcupine 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A757B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C45B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Tele01, 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E9446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Sandy Creek, St Helens, Harbour</w:t>
            </w:r>
          </w:p>
        </w:tc>
      </w:tr>
      <w:tr w:rsidR="00232BA9" w:rsidRPr="00B3017C" w14:paraId="597601DE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F3D39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lastRenderedPageBreak/>
              <w:t>Urogymnus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017C">
              <w:rPr>
                <w:i/>
                <w:iCs/>
                <w:color w:val="000000"/>
              </w:rPr>
              <w:t>granulatus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CB2A4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Mangrove whipray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DE5A9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VUL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8B69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Tele01, 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147A2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Gregory River, St Helens, Harbour</w:t>
            </w:r>
          </w:p>
        </w:tc>
      </w:tr>
      <w:tr w:rsidR="00232BA9" w:rsidRPr="00B3017C" w14:paraId="06CA0A41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290B2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proofErr w:type="spellStart"/>
            <w:r w:rsidRPr="00B3017C">
              <w:rPr>
                <w:i/>
                <w:iCs/>
                <w:color w:val="000000"/>
              </w:rPr>
              <w:t>Dasyatis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say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5B77B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Bluntnose stingray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CDA14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NT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F66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Elas02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8802D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All</w:t>
            </w:r>
          </w:p>
        </w:tc>
      </w:tr>
      <w:tr w:rsidR="00232BA9" w:rsidRPr="00B3017C" w14:paraId="6D12C834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8132B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 xml:space="preserve">Scomberomorus </w:t>
            </w:r>
            <w:proofErr w:type="spellStart"/>
            <w:r w:rsidRPr="00B3017C">
              <w:rPr>
                <w:i/>
                <w:iCs/>
                <w:color w:val="000000"/>
              </w:rPr>
              <w:t>commerson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40AE6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Spanish mackerel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EED3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NT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E340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AFCD9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Sandy Creek, Harbour</w:t>
            </w:r>
          </w:p>
        </w:tc>
      </w:tr>
      <w:tr w:rsidR="00232BA9" w:rsidRPr="00B3017C" w14:paraId="10AC1ABC" w14:textId="77777777" w:rsidTr="0049796B">
        <w:trPr>
          <w:trHeight w:val="606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755A6" w14:textId="77777777" w:rsidR="00232BA9" w:rsidRPr="00B3017C" w:rsidRDefault="00232BA9" w:rsidP="000A493C">
            <w:pPr>
              <w:rPr>
                <w:i/>
                <w:iCs/>
                <w:color w:val="000000"/>
              </w:rPr>
            </w:pPr>
            <w:r w:rsidRPr="00B3017C">
              <w:rPr>
                <w:i/>
                <w:iCs/>
                <w:color w:val="000000"/>
              </w:rPr>
              <w:t xml:space="preserve">Scomberomorus </w:t>
            </w:r>
            <w:proofErr w:type="spellStart"/>
            <w:r w:rsidRPr="00B3017C">
              <w:rPr>
                <w:i/>
                <w:iCs/>
                <w:color w:val="000000"/>
              </w:rPr>
              <w:t>munroi</w:t>
            </w:r>
            <w:proofErr w:type="spellEnd"/>
            <w:r w:rsidRPr="00B3017C"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D845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Australian spotted mackerel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BD36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NT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AEF2B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Tele01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F5EDAE" w14:textId="77777777" w:rsidR="00232BA9" w:rsidRPr="00B3017C" w:rsidRDefault="00232BA9" w:rsidP="000A493C">
            <w:pPr>
              <w:rPr>
                <w:color w:val="000000"/>
              </w:rPr>
            </w:pPr>
            <w:r w:rsidRPr="00B3017C">
              <w:rPr>
                <w:color w:val="000000"/>
              </w:rPr>
              <w:t>Sandy Creek, Harbour</w:t>
            </w:r>
          </w:p>
        </w:tc>
      </w:tr>
    </w:tbl>
    <w:p w14:paraId="350DD10F" w14:textId="77777777" w:rsidR="00BB6D87" w:rsidRPr="00B3017C" w:rsidRDefault="00BB6D87" w:rsidP="00B3017C">
      <w:pPr>
        <w:spacing w:line="360" w:lineRule="auto"/>
        <w:rPr>
          <w:b/>
          <w:bCs/>
        </w:rPr>
      </w:pPr>
    </w:p>
    <w:p w14:paraId="71047DEB" w14:textId="77777777" w:rsidR="00BD76E7" w:rsidRDefault="00BD76E7" w:rsidP="00B3017C">
      <w:pPr>
        <w:spacing w:line="360" w:lineRule="auto"/>
        <w:rPr>
          <w:b/>
          <w:bCs/>
        </w:rPr>
      </w:pPr>
    </w:p>
    <w:p w14:paraId="491E42E5" w14:textId="112A86AE" w:rsidR="00E02DDF" w:rsidRPr="00791A9E" w:rsidRDefault="00E02DDF" w:rsidP="00E02DDF">
      <w:pPr>
        <w:spacing w:line="360" w:lineRule="auto"/>
        <w:rPr>
          <w:i/>
          <w:iCs/>
          <w:color w:val="000000" w:themeColor="text1"/>
        </w:rPr>
      </w:pPr>
      <w:r w:rsidRPr="00424B3A">
        <w:rPr>
          <w:i/>
          <w:iCs/>
          <w:color w:val="000000" w:themeColor="text1"/>
        </w:rPr>
        <w:t>Bioinformatics processing</w:t>
      </w:r>
      <w:r>
        <w:rPr>
          <w:i/>
          <w:iCs/>
          <w:color w:val="000000" w:themeColor="text1"/>
        </w:rPr>
        <w:t>:</w:t>
      </w:r>
    </w:p>
    <w:p w14:paraId="2FA042A9" w14:textId="28F9300C" w:rsidR="00E02DDF" w:rsidRPr="00B3017C" w:rsidRDefault="00E02DDF" w:rsidP="00E02DDF">
      <w:pPr>
        <w:spacing w:line="360" w:lineRule="auto"/>
        <w:rPr>
          <w:b/>
          <w:bCs/>
        </w:rPr>
      </w:pPr>
      <w:r w:rsidRPr="00424B3A">
        <w:rPr>
          <w:color w:val="000000" w:themeColor="text1"/>
        </w:rPr>
        <w:t xml:space="preserve">Bioinformatics processing of the raw 12S </w:t>
      </w:r>
      <w:proofErr w:type="spellStart"/>
      <w:r>
        <w:rPr>
          <w:color w:val="000000" w:themeColor="text1"/>
        </w:rPr>
        <w:t>mtD</w:t>
      </w:r>
      <w:r w:rsidRPr="00424B3A">
        <w:rPr>
          <w:color w:val="000000" w:themeColor="text1"/>
        </w:rPr>
        <w:t>NA</w:t>
      </w:r>
      <w:proofErr w:type="spellEnd"/>
      <w:r w:rsidRPr="00424B3A">
        <w:rPr>
          <w:color w:val="000000" w:themeColor="text1"/>
        </w:rPr>
        <w:t xml:space="preserve"> metabarcoding data for Tele01 and Elas02 was carried out using the GHAP pipeline </w:t>
      </w:r>
      <w:r w:rsidRPr="00424B3A"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ADDIN EN.CITE &lt;EndNote&gt;&lt;Cite&gt;&lt;Author&gt;Greenfield&lt;/Author&gt;&lt;Year&gt;2017&lt;/Year&gt;&lt;RecNum&gt;219&lt;/RecNum&gt;&lt;DisplayText&gt;(Greenfield, 2017)&lt;/DisplayText&gt;&lt;record&gt;&lt;rec-number&gt;219&lt;/rec-number&gt;&lt;foreign-keys&gt;&lt;key app="EN" db-id="xxx0e0e2pwxewaed2d6xxsz002wzwxw9fw2w" timestamp="1628819810" guid="09694be4-7cd4-469e-9fc1-1b62e0bc551c"&gt;219&lt;/key&gt;&lt;/foreign-keys&gt;&lt;ref-type name="Computer Program"&gt;9&lt;/ref-type&gt;&lt;contributors&gt;&lt;authors&gt;&lt;author&gt;Greenfield, Paul&lt;/author&gt;&lt;/authors&gt;&lt;/contributors&gt;&lt;titles&gt;&lt;title&gt;Greenfield Hybrid Analysis Pipeline (GHAP)&lt;/title&gt;&lt;/titles&gt;&lt;edition&gt;v1&lt;/edition&gt;&lt;keywords&gt;&lt;keyword&gt;Amplicon&lt;/keyword&gt;&lt;keyword&gt;pipeline&lt;/keyword&gt;&lt;keyword&gt;usearch&lt;/keyword&gt;&lt;keyword&gt;RDP&lt;/keyword&gt;&lt;keyword&gt;Microbial Ecology&lt;/keyword&gt;&lt;keyword&gt;BIOLOGICAL SCIENCES&lt;/keyword&gt;&lt;keyword&gt;MICROBIOLOGY&lt;/keyword&gt;&lt;/keywords&gt;&lt;dates&gt;&lt;year&gt;2017&lt;/year&gt;&lt;/dates&gt;&lt;publisher&gt;Commonwealth Scientific and Industrial Research Organisation (CSIRO)&lt;/publisher&gt;&lt;urls&gt;&lt;related-urls&gt;&lt;url&gt;https://doi.org/10.4225/08/59f98560eba25, https://researchdata.edu.au/greenfield-hybrid-analysis-pipeline-ghap&lt;/url&gt;&lt;/related-urls&gt;&lt;/urls&gt;&lt;custom5&gt;All Rights (including copyright) CSIRO 2017.&amp;#xD;CSIRO Binary Software Licence Agreement v1.0&amp;#xD;Data is accessible online and may be reused in accordance with licence conditions&lt;/custom5&gt;&lt;electronic-resource-num&gt;https://doi.org/s10.4225/08/59f98560eba25&lt;/electronic-resource-num&gt;&lt;language&gt;English&lt;/language&gt;&lt;access-date&gt;2021-08-03&lt;/access-date&gt;&lt;/record&gt;&lt;/Cite&gt;&lt;/EndNote&gt;</w:instrText>
      </w:r>
      <w:r w:rsidRPr="00424B3A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(Greenfield, 2017)</w:t>
      </w:r>
      <w:r w:rsidRPr="00424B3A">
        <w:rPr>
          <w:color w:val="000000" w:themeColor="text1"/>
        </w:rPr>
        <w:fldChar w:fldCharType="end"/>
      </w:r>
      <w:r w:rsidRPr="00424B3A">
        <w:rPr>
          <w:color w:val="000000" w:themeColor="text1"/>
        </w:rPr>
        <w:t xml:space="preserve">. Both </w:t>
      </w:r>
      <w:r>
        <w:rPr>
          <w:color w:val="000000" w:themeColor="text1"/>
        </w:rPr>
        <w:t>datasets</w:t>
      </w:r>
      <w:r w:rsidRPr="00424B3A">
        <w:rPr>
          <w:color w:val="000000" w:themeColor="text1"/>
        </w:rPr>
        <w:t xml:space="preserve"> were processed separately using the same methods. Demultiplexed reads were end-trimmed to reduce the number of sequencing errors in the overlap regions, using a sliding window technique and a minimum acceptable quality score of 25. Each pair of trimmed reads files </w:t>
      </w:r>
      <w:r>
        <w:rPr>
          <w:color w:val="000000" w:themeColor="text1"/>
        </w:rPr>
        <w:t>were</w:t>
      </w:r>
      <w:r w:rsidRPr="00424B3A">
        <w:rPr>
          <w:color w:val="000000" w:themeColor="text1"/>
        </w:rPr>
        <w:t xml:space="preserve"> merged to create files of full-length amplicon sequences using </w:t>
      </w:r>
      <w:proofErr w:type="spellStart"/>
      <w:r w:rsidRPr="00424B3A">
        <w:rPr>
          <w:i/>
          <w:iCs/>
          <w:color w:val="000000" w:themeColor="text1"/>
        </w:rPr>
        <w:t>usearch</w:t>
      </w:r>
      <w:proofErr w:type="spellEnd"/>
      <w:r w:rsidRPr="00424B3A">
        <w:rPr>
          <w:i/>
          <w:iCs/>
          <w:color w:val="000000" w:themeColor="text1"/>
        </w:rPr>
        <w:t xml:space="preserve"> -</w:t>
      </w:r>
      <w:proofErr w:type="spellStart"/>
      <w:r w:rsidRPr="00424B3A">
        <w:rPr>
          <w:i/>
          <w:iCs/>
          <w:color w:val="000000" w:themeColor="text1"/>
        </w:rPr>
        <w:t>mergepairs</w:t>
      </w:r>
      <w:proofErr w:type="spellEnd"/>
      <w:r w:rsidRPr="00424B3A">
        <w:rPr>
          <w:color w:val="000000" w:themeColor="text1"/>
        </w:rPr>
        <w:t xml:space="preserve"> </w:t>
      </w:r>
      <w:r w:rsidRPr="00424B3A"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ADDIN EN.CITE &lt;EndNote&gt;&lt;Cite&gt;&lt;Author&gt;Edgar&lt;/Author&gt;&lt;Year&gt;2010&lt;/Year&gt;&lt;RecNum&gt;667&lt;/RecNum&gt;&lt;DisplayText&gt;(Edgar, 2010)&lt;/DisplayText&gt;&lt;record&gt;&lt;rec-number&gt;667&lt;/rec-number&gt;&lt;foreign-keys&gt;&lt;key app="EN" db-id="xxx0e0e2pwxewaed2d6xxsz002wzwxw9fw2w" timestamp="1667360400" guid="b90cd60a-a083-438e-a575-ed01e70a3b47"&gt;667&lt;/key&gt;&lt;/foreign-keys&gt;&lt;ref-type name="Computer Program"&gt;9&lt;/ref-type&gt;&lt;contributors&gt;&lt;authors&gt;&lt;author&gt;Edgar, Robert&lt;/author&gt;&lt;/authors&gt;&lt;/contributors&gt;&lt;titles&gt;&lt;title&gt;Usearch&lt;/title&gt;&lt;/titles&gt;&lt;dates&gt;&lt;year&gt;2010&lt;/year&gt;&lt;/dates&gt;&lt;publisher&gt;Lawrence Berkeley National Lab.(LBNL), Berkeley, CA (United States)&lt;/publisher&gt;&lt;urls&gt;&lt;/urls&gt;&lt;/record&gt;&lt;/Cite&gt;&lt;/EndNote&gt;</w:instrText>
      </w:r>
      <w:r w:rsidRPr="00424B3A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(Edgar, 2010)</w:t>
      </w:r>
      <w:r w:rsidRPr="00424B3A">
        <w:rPr>
          <w:color w:val="000000" w:themeColor="text1"/>
        </w:rPr>
        <w:fldChar w:fldCharType="end"/>
      </w:r>
      <w:r w:rsidRPr="00424B3A">
        <w:rPr>
          <w:color w:val="000000" w:themeColor="text1"/>
        </w:rPr>
        <w:t>. High</w:t>
      </w:r>
      <w:r>
        <w:rPr>
          <w:color w:val="000000" w:themeColor="text1"/>
        </w:rPr>
        <w:t>-</w:t>
      </w:r>
      <w:r w:rsidRPr="00424B3A">
        <w:rPr>
          <w:color w:val="000000" w:themeColor="text1"/>
        </w:rPr>
        <w:t xml:space="preserve">quality amplicons from all samples (expected errors &lt; 0.1) were then clustered using </w:t>
      </w:r>
      <w:proofErr w:type="spellStart"/>
      <w:r w:rsidRPr="00424B3A">
        <w:rPr>
          <w:i/>
          <w:iCs/>
          <w:color w:val="000000" w:themeColor="text1"/>
        </w:rPr>
        <w:t>usearch</w:t>
      </w:r>
      <w:proofErr w:type="spellEnd"/>
      <w:r w:rsidRPr="00424B3A">
        <w:rPr>
          <w:i/>
          <w:iCs/>
          <w:color w:val="000000" w:themeColor="text1"/>
        </w:rPr>
        <w:t xml:space="preserve"> -unoise3</w:t>
      </w:r>
      <w:r w:rsidRPr="00424B3A">
        <w:rPr>
          <w:color w:val="000000" w:themeColor="text1"/>
        </w:rPr>
        <w:t xml:space="preserve"> to generate a set of high-quality zero-radius sequences (</w:t>
      </w:r>
      <w:proofErr w:type="spellStart"/>
      <w:r w:rsidRPr="00424B3A">
        <w:rPr>
          <w:color w:val="000000" w:themeColor="text1"/>
        </w:rPr>
        <w:t>zOTUs</w:t>
      </w:r>
      <w:proofErr w:type="spellEnd"/>
      <w:r w:rsidRPr="00424B3A">
        <w:rPr>
          <w:color w:val="000000" w:themeColor="text1"/>
        </w:rPr>
        <w:t xml:space="preserve">). The original amplicons for each sample were then mapped back onto these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 sequences to generate abundance counts for each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 for each sample, and these counts were used to create a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/sample abundance matrix. The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 sequences were then compared to the </w:t>
      </w:r>
      <w:proofErr w:type="spellStart"/>
      <w:r w:rsidRPr="00424B3A">
        <w:rPr>
          <w:color w:val="000000" w:themeColor="text1"/>
        </w:rPr>
        <w:t>MitoFish</w:t>
      </w:r>
      <w:proofErr w:type="spellEnd"/>
      <w:r w:rsidRPr="00424B3A">
        <w:rPr>
          <w:color w:val="000000" w:themeColor="text1"/>
        </w:rPr>
        <w:t xml:space="preserve"> reference database using </w:t>
      </w:r>
      <w:proofErr w:type="spellStart"/>
      <w:r w:rsidRPr="00424B3A">
        <w:rPr>
          <w:i/>
          <w:iCs/>
          <w:color w:val="000000" w:themeColor="text1"/>
        </w:rPr>
        <w:t>usearch</w:t>
      </w:r>
      <w:proofErr w:type="spellEnd"/>
      <w:r w:rsidRPr="00424B3A">
        <w:rPr>
          <w:i/>
          <w:iCs/>
          <w:color w:val="000000" w:themeColor="text1"/>
        </w:rPr>
        <w:t xml:space="preserve"> -</w:t>
      </w:r>
      <w:proofErr w:type="spellStart"/>
      <w:r w:rsidRPr="00424B3A">
        <w:rPr>
          <w:i/>
          <w:iCs/>
          <w:color w:val="000000" w:themeColor="text1"/>
        </w:rPr>
        <w:t>ublast</w:t>
      </w:r>
      <w:proofErr w:type="spellEnd"/>
      <w:r w:rsidRPr="00424B3A">
        <w:rPr>
          <w:i/>
          <w:iCs/>
          <w:color w:val="000000" w:themeColor="text1"/>
        </w:rPr>
        <w:t xml:space="preserve"> </w:t>
      </w:r>
      <w:r w:rsidRPr="00424B3A">
        <w:rPr>
          <w:color w:val="000000" w:themeColor="text1"/>
        </w:rPr>
        <w:t xml:space="preserve">to find the closest match, and the identity of this match was used to assign a taxonomic lineage for the sequence. The taxonomic assignments and the abundance matrix were finally merged to create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 tables for each primer pair, including taxonomy and read counts of samples matched to </w:t>
      </w:r>
      <w:proofErr w:type="spellStart"/>
      <w:r w:rsidRPr="00424B3A">
        <w:rPr>
          <w:color w:val="000000" w:themeColor="text1"/>
        </w:rPr>
        <w:t>zOTUs</w:t>
      </w:r>
      <w:proofErr w:type="spellEnd"/>
      <w:r w:rsidRPr="00424B3A">
        <w:rPr>
          <w:color w:val="000000" w:themeColor="text1"/>
        </w:rPr>
        <w:t xml:space="preserve">. Any </w:t>
      </w:r>
      <w:proofErr w:type="spellStart"/>
      <w:r w:rsidRPr="00424B3A">
        <w:rPr>
          <w:color w:val="000000" w:themeColor="text1"/>
        </w:rPr>
        <w:t>zOTU</w:t>
      </w:r>
      <w:proofErr w:type="spellEnd"/>
      <w:r w:rsidRPr="00424B3A">
        <w:rPr>
          <w:color w:val="000000" w:themeColor="text1"/>
        </w:rPr>
        <w:t xml:space="preserve"> rows in these tables with less than 80% identity match to the </w:t>
      </w:r>
      <w:proofErr w:type="spellStart"/>
      <w:r w:rsidRPr="00424B3A">
        <w:rPr>
          <w:color w:val="000000" w:themeColor="text1"/>
        </w:rPr>
        <w:t>MitoFish</w:t>
      </w:r>
      <w:proofErr w:type="spellEnd"/>
      <w:r w:rsidRPr="00424B3A">
        <w:rPr>
          <w:color w:val="000000" w:themeColor="text1"/>
        </w:rPr>
        <w:t xml:space="preserve"> database were discarded.</w:t>
      </w:r>
    </w:p>
    <w:sectPr w:rsidR="00E02DDF" w:rsidRPr="00B3017C" w:rsidSect="00CE3F59">
      <w:pgSz w:w="11906" w:h="16838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6D10"/>
    <w:multiLevelType w:val="hybridMultilevel"/>
    <w:tmpl w:val="A33CBD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87"/>
    <w:rsid w:val="00012375"/>
    <w:rsid w:val="0002681C"/>
    <w:rsid w:val="00036737"/>
    <w:rsid w:val="000775B2"/>
    <w:rsid w:val="000A493C"/>
    <w:rsid w:val="000A657E"/>
    <w:rsid w:val="000B1228"/>
    <w:rsid w:val="000C1059"/>
    <w:rsid w:val="000C7B15"/>
    <w:rsid w:val="00104AF1"/>
    <w:rsid w:val="00116110"/>
    <w:rsid w:val="00125430"/>
    <w:rsid w:val="00151250"/>
    <w:rsid w:val="00157239"/>
    <w:rsid w:val="00163E33"/>
    <w:rsid w:val="00182717"/>
    <w:rsid w:val="00186F4D"/>
    <w:rsid w:val="00191755"/>
    <w:rsid w:val="00193C71"/>
    <w:rsid w:val="001D786D"/>
    <w:rsid w:val="00200132"/>
    <w:rsid w:val="002273E8"/>
    <w:rsid w:val="0023192F"/>
    <w:rsid w:val="00232BA9"/>
    <w:rsid w:val="00265D7E"/>
    <w:rsid w:val="002A44CE"/>
    <w:rsid w:val="002D2F9A"/>
    <w:rsid w:val="002E03C7"/>
    <w:rsid w:val="002F0F03"/>
    <w:rsid w:val="00313C19"/>
    <w:rsid w:val="00322A96"/>
    <w:rsid w:val="003354AF"/>
    <w:rsid w:val="0034583B"/>
    <w:rsid w:val="00394339"/>
    <w:rsid w:val="00431A71"/>
    <w:rsid w:val="0045353A"/>
    <w:rsid w:val="00453E4B"/>
    <w:rsid w:val="0049796B"/>
    <w:rsid w:val="004A1E4A"/>
    <w:rsid w:val="004E1251"/>
    <w:rsid w:val="004E5F77"/>
    <w:rsid w:val="00516E31"/>
    <w:rsid w:val="00523F11"/>
    <w:rsid w:val="0054516C"/>
    <w:rsid w:val="005544DD"/>
    <w:rsid w:val="005727C0"/>
    <w:rsid w:val="005901D2"/>
    <w:rsid w:val="00605C99"/>
    <w:rsid w:val="00625335"/>
    <w:rsid w:val="00657AC8"/>
    <w:rsid w:val="00664686"/>
    <w:rsid w:val="006B6390"/>
    <w:rsid w:val="006C279C"/>
    <w:rsid w:val="006C3A48"/>
    <w:rsid w:val="006E3EB9"/>
    <w:rsid w:val="007041C3"/>
    <w:rsid w:val="007104FE"/>
    <w:rsid w:val="00731368"/>
    <w:rsid w:val="00797AC9"/>
    <w:rsid w:val="008013F0"/>
    <w:rsid w:val="00803499"/>
    <w:rsid w:val="0081210C"/>
    <w:rsid w:val="008819A5"/>
    <w:rsid w:val="00881D2C"/>
    <w:rsid w:val="0088722A"/>
    <w:rsid w:val="008C18A2"/>
    <w:rsid w:val="008E2781"/>
    <w:rsid w:val="008E3F0F"/>
    <w:rsid w:val="00923671"/>
    <w:rsid w:val="00961B44"/>
    <w:rsid w:val="00994188"/>
    <w:rsid w:val="009C39C7"/>
    <w:rsid w:val="009F19C5"/>
    <w:rsid w:val="00A25847"/>
    <w:rsid w:val="00A51351"/>
    <w:rsid w:val="00AA3F3E"/>
    <w:rsid w:val="00AA78A4"/>
    <w:rsid w:val="00AB7AD6"/>
    <w:rsid w:val="00AD4A45"/>
    <w:rsid w:val="00AE2A06"/>
    <w:rsid w:val="00AF5E02"/>
    <w:rsid w:val="00AF7B4D"/>
    <w:rsid w:val="00B04B91"/>
    <w:rsid w:val="00B07840"/>
    <w:rsid w:val="00B23B85"/>
    <w:rsid w:val="00B3017C"/>
    <w:rsid w:val="00B31599"/>
    <w:rsid w:val="00B57A3C"/>
    <w:rsid w:val="00B91348"/>
    <w:rsid w:val="00BB3385"/>
    <w:rsid w:val="00BB6D87"/>
    <w:rsid w:val="00BD3624"/>
    <w:rsid w:val="00BD76E7"/>
    <w:rsid w:val="00BF7F19"/>
    <w:rsid w:val="00C02E54"/>
    <w:rsid w:val="00C10089"/>
    <w:rsid w:val="00C16D42"/>
    <w:rsid w:val="00C31E5A"/>
    <w:rsid w:val="00C52848"/>
    <w:rsid w:val="00CA4EC8"/>
    <w:rsid w:val="00CA5A36"/>
    <w:rsid w:val="00CB3C8B"/>
    <w:rsid w:val="00CC0DDB"/>
    <w:rsid w:val="00CC4850"/>
    <w:rsid w:val="00CE3F59"/>
    <w:rsid w:val="00CE596C"/>
    <w:rsid w:val="00CF67FA"/>
    <w:rsid w:val="00D04029"/>
    <w:rsid w:val="00D05F1C"/>
    <w:rsid w:val="00D26D23"/>
    <w:rsid w:val="00D90C83"/>
    <w:rsid w:val="00DA0EC5"/>
    <w:rsid w:val="00DA2C2A"/>
    <w:rsid w:val="00DB4134"/>
    <w:rsid w:val="00DC2559"/>
    <w:rsid w:val="00DC5B65"/>
    <w:rsid w:val="00DD4E50"/>
    <w:rsid w:val="00DF60D6"/>
    <w:rsid w:val="00E02317"/>
    <w:rsid w:val="00E02DDF"/>
    <w:rsid w:val="00E33DD4"/>
    <w:rsid w:val="00E65587"/>
    <w:rsid w:val="00E87A82"/>
    <w:rsid w:val="00EC154C"/>
    <w:rsid w:val="00ED1ABF"/>
    <w:rsid w:val="00F33D7C"/>
    <w:rsid w:val="00F33DA7"/>
    <w:rsid w:val="00F34FDF"/>
    <w:rsid w:val="00F43430"/>
    <w:rsid w:val="00F52A1A"/>
    <w:rsid w:val="00F909F6"/>
    <w:rsid w:val="00FD3399"/>
    <w:rsid w:val="00FE1DAA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EF70"/>
  <w15:chartTrackingRefBased/>
  <w15:docId w15:val="{293413C2-AD9D-3D40-8FB3-21D94248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E7"/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BF7F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7F19"/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7F19"/>
    <w:rPr>
      <w:rFonts w:eastAsia="Times New Roman" w:hAnsi="Times New Roman" w:cs="Times New Roman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655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587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731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rsid w:val="00AE2A06"/>
    <w:rPr>
      <w:rFonts w:eastAsia="Times New Roman"/>
      <w:sz w:val="20"/>
      <w:szCs w:val="20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AE2A06"/>
    <w:rPr>
      <w:rFonts w:ascii="Calibri" w:hAnsi="Calibri" w:cs="Calibri"/>
      <w:color w:val="000000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AE2A06"/>
    <w:rPr>
      <w:rFonts w:ascii="Times New Roman" w:eastAsia="Times New Roman" w:hAnsi="Times New Roman" w:cs="Times New Roman"/>
      <w:color w:val="auto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E2A06"/>
    <w:rPr>
      <w:sz w:val="16"/>
      <w:szCs w:val="16"/>
    </w:rPr>
  </w:style>
  <w:style w:type="character" w:customStyle="1" w:styleId="normaltextrun">
    <w:name w:val="normaltextrun"/>
    <w:basedOn w:val="DefaultParagraphFont"/>
    <w:rsid w:val="00D05F1C"/>
  </w:style>
  <w:style w:type="character" w:customStyle="1" w:styleId="eop">
    <w:name w:val="eop"/>
    <w:basedOn w:val="DefaultParagraphFont"/>
    <w:rsid w:val="00D0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Chetan Parikh</dc:creator>
  <cp:keywords/>
  <dc:description/>
  <cp:lastModifiedBy>Aashi Parikh</cp:lastModifiedBy>
  <cp:revision>45</cp:revision>
  <dcterms:created xsi:type="dcterms:W3CDTF">2022-08-03T05:59:00Z</dcterms:created>
  <dcterms:modified xsi:type="dcterms:W3CDTF">2024-02-22T06:38:00Z</dcterms:modified>
</cp:coreProperties>
</file>