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0"/>
          <w:szCs w:val="30"/>
        </w:rPr>
        <w:t xml:space="preserve">Part 2 -- Lived Values: ESG Disclosure in SEC Proxy Statements (2016-2024)</w:t>
      </w:r>
    </w:p>
    <w:p>
      <w:pPr>
        <w:spacing w:after="160"/>
      </w:pPr>
      <w:r>
        <w:rPr>
          <w:rFonts w:ascii="Calibri" w:cs="Calibri" w:eastAsia="Calibri" w:hAnsi="Calibri"/>
          <w:i/>
          <w:iCs/>
          <w:color w:val="666666"/>
          <w:sz w:val="20"/>
          <w:szCs w:val="20"/>
        </w:rPr>
        <w:t xml:space="preserve">An analysis of DEF 14A filings from the same 50 large U.S. companies as Part 1</w:t>
      </w:r>
    </w:p>
    <w:p>
      <w:pPr>
        <w:pBdr>
          <w:bottom w:val="single" w:color="999999" w:sz="6" w:space="1"/>
        </w:pBdr>
        <w:spacing w:after="80" w:before="40"/>
      </w:pPr>
    </w:p>
    <w:p>
      <w:pPr>
        <w:spacing w:after="80" w:before="0"/>
      </w:pPr>
      <w:r>
        <w:rPr>
          <w:rFonts w:ascii="Calibri" w:cs="Calibri" w:eastAsia="Calibri" w:hAnsi="Calibri"/>
          <w:b/>
          <w:bCs/>
          <w:sz w:val="28"/>
          <w:szCs w:val="28"/>
        </w:rPr>
        <w:t xml:space="preserve">The question we set out to answer</w:t>
      </w:r>
    </w:p>
    <w:p>
      <w:pPr>
        <w:spacing w:after="100" w:line="276"/>
        <w:jc w:val="both"/>
      </w:pPr>
      <w:r>
        <w:rPr>
          <w:rFonts w:ascii="Calibri" w:cs="Calibri" w:eastAsia="Calibri" w:hAnsi="Calibri"/>
          <w:sz w:val="20"/>
          <w:szCs w:val="20"/>
        </w:rPr>
        <w:t xml:space="preserve">Part 1 looked at what companies say about themselves on their public websites. Part 2 asks a tighter question: when those same companies are required to disclose ESG information to the SEC, what do they actually say? We pulled every annual proxy statement (DEF 14A) for our 50 companies from 2016 to 2024 and measured how ESG and diversity language has changed.</w:t>
      </w:r>
    </w:p>
    <w:p>
      <w:pPr>
        <w:spacing w:after="80" w:before="0"/>
      </w:pPr>
      <w:r>
        <w:rPr>
          <w:rFonts w:ascii="Calibri" w:cs="Calibri" w:eastAsia="Calibri" w:hAnsi="Calibri"/>
          <w:b/>
          <w:bCs/>
          <w:sz w:val="28"/>
          <w:szCs w:val="28"/>
        </w:rPr>
        <w:t xml:space="preserve">What we built</w:t>
      </w:r>
    </w:p>
    <w:p>
      <w:pPr>
        <w:spacing w:after="100" w:line="276"/>
        <w:jc w:val="both"/>
      </w:pPr>
      <w:r>
        <w:rPr>
          <w:rFonts w:ascii="Calibri" w:cs="Calibri" w:eastAsia="Calibri" w:hAnsi="Calibri"/>
          <w:sz w:val="20"/>
          <w:szCs w:val="20"/>
        </w:rPr>
        <w:t xml:space="preserve">DEF 14A filings are the annual report a public company files with the SEC before its shareholder meeting. They cover board composition, executive pay, governance, and -- increasingly -- ESG. Unlike marketing copy, these filings carry legal liability for misstatements.</w:t>
      </w:r>
    </w:p>
    <w:p>
      <w:pPr>
        <w:spacing w:after="100" w:line="276"/>
        <w:jc w:val="both"/>
      </w:pPr>
      <w:r>
        <w:rPr>
          <w:rFonts w:ascii="Calibri" w:cs="Calibri" w:eastAsia="Calibri" w:hAnsi="Calibri"/>
          <w:sz w:val="20"/>
          <w:szCs w:val="20"/>
        </w:rPr>
        <w:t xml:space="preserve">Of 450 targeted filings (50 companies x 9 years), we successfully retrieved </w:t>
      </w:r>
      <w:r>
        <w:rPr>
          <w:rFonts w:ascii="Calibri" w:cs="Calibri" w:eastAsia="Calibri" w:hAnsi="Calibri"/>
          <w:b/>
          <w:bCs/>
          <w:sz w:val="20"/>
          <w:szCs w:val="20"/>
        </w:rPr>
        <w:t xml:space="preserve">442 (98%)</w:t>
      </w:r>
      <w:r>
        <w:rPr>
          <w:rFonts w:ascii="Calibri" w:cs="Calibri" w:eastAsia="Calibri" w:hAnsi="Calibri"/>
          <w:sz w:val="20"/>
          <w:szCs w:val="20"/>
        </w:rPr>
        <w:t xml:space="preserve">, far higher than Part 1's coverage because SEC EDGAR is a free official archive. Of those, </w:t>
      </w:r>
      <w:r>
        <w:rPr>
          <w:rFonts w:ascii="Calibri" w:cs="Calibri" w:eastAsia="Calibri" w:hAnsi="Calibri"/>
          <w:b/>
          <w:bCs/>
          <w:sz w:val="20"/>
          <w:szCs w:val="20"/>
        </w:rPr>
        <w:t xml:space="preserve">90% contained an explicit ESG section</w:t>
      </w:r>
      <w:r>
        <w:rPr>
          <w:rFonts w:ascii="Calibri" w:cs="Calibri" w:eastAsia="Calibri" w:hAnsi="Calibri"/>
          <w:sz w:val="20"/>
          <w:szCs w:val="20"/>
        </w:rPr>
        <w:t xml:space="preserve"> our regex could find. Every retrieved filing got a full AI analysis (theme detection, change comparison, disclosure-quality grading).</w:t>
      </w:r>
    </w:p>
    <w:p>
      <w:pPr>
        <w:spacing w:after="80" w:before="0"/>
      </w:pPr>
      <w:r>
        <w:rPr>
          <w:rFonts w:ascii="Calibri" w:cs="Calibri" w:eastAsia="Calibri" w:hAnsi="Calibri"/>
          <w:b/>
          <w:bCs/>
          <w:sz w:val="28"/>
          <w:szCs w:val="28"/>
        </w:rPr>
        <w:t xml:space="preserve">Six findings a non-technical reader can act on</w:t>
      </w:r>
    </w:p>
    <w:p>
      <w:pPr>
        <w:spacing w:after="60" w:before="160"/>
      </w:pPr>
      <w:r>
        <w:rPr>
          <w:rFonts w:ascii="Calibri" w:cs="Calibri" w:eastAsia="Calibri" w:hAnsi="Calibri"/>
          <w:b/>
          <w:bCs/>
          <w:sz w:val="22"/>
          <w:szCs w:val="22"/>
        </w:rPr>
        <w:t xml:space="preserve">1. The ESG retreat is visible in legal disclosures, not just marketing</w:t>
      </w:r>
    </w:p>
    <w:p>
      <w:pPr>
        <w:spacing w:after="100" w:line="276"/>
        <w:jc w:val="both"/>
      </w:pPr>
      <w:r>
        <w:rPr>
          <w:rFonts w:ascii="Calibri" w:cs="Calibri" w:eastAsia="Calibri" w:hAnsi="Calibri"/>
          <w:sz w:val="20"/>
          <w:szCs w:val="20"/>
        </w:rPr>
        <w:t xml:space="preserve">ESG-related keywords per filing rose from 6.3 per 1,000 words in 2016 to </w:t>
      </w:r>
      <w:r>
        <w:rPr>
          <w:rFonts w:ascii="Calibri" w:cs="Calibri" w:eastAsia="Calibri" w:hAnsi="Calibri"/>
          <w:b/>
          <w:bCs/>
          <w:sz w:val="20"/>
          <w:szCs w:val="20"/>
        </w:rPr>
        <w:t xml:space="preserve">14.8 in 2022 (the peak)</w:t>
      </w:r>
      <w:r>
        <w:rPr>
          <w:rFonts w:ascii="Calibri" w:cs="Calibri" w:eastAsia="Calibri" w:hAnsi="Calibri"/>
          <w:sz w:val="20"/>
          <w:szCs w:val="20"/>
        </w:rPr>
        <w:t xml:space="preserve">, then declined to 11.6 in 2024. Part 1 found the same arc in About pages. The fact that we see the same pattern in SEC filings -- which carry legal liability -- means the retreat is real, not just rebranding.</w:t>
      </w:r>
    </w:p>
    <w:p>
      <w:pPr>
        <w:spacing w:after="60" w:before="160"/>
      </w:pPr>
      <w:r>
        <w:rPr>
          <w:rFonts w:ascii="Calibri" w:cs="Calibri" w:eastAsia="Calibri" w:hAnsi="Calibri"/>
          <w:b/>
          <w:bCs/>
          <w:sz w:val="22"/>
          <w:szCs w:val="22"/>
        </w:rPr>
        <w:t xml:space="preserve">2. The DEI retreat is concentrated in two sectors, and Technology bucked it</w:t>
      </w:r>
    </w:p>
    <w:p>
      <w:pPr>
        <w:spacing w:after="100" w:line="276"/>
        <w:jc w:val="both"/>
      </w:pPr>
      <w:r>
        <w:rPr>
          <w:rFonts w:ascii="Calibri" w:cs="Calibri" w:eastAsia="Calibri" w:hAnsi="Calibri"/>
          <w:sz w:val="20"/>
          <w:szCs w:val="20"/>
        </w:rPr>
        <w:t xml:space="preserve">Between 2021 and 2024, diversity mentions per proxy fell sharply in Consumer Discretionary (-28 per filing) and Energy (-13), declined modestly in Financials (-3), barely moved in Healthcare, and </w:t>
      </w:r>
      <w:r>
        <w:rPr>
          <w:rFonts w:ascii="Calibri" w:cs="Calibri" w:eastAsia="Calibri" w:hAnsi="Calibri"/>
          <w:b/>
          <w:bCs/>
          <w:sz w:val="20"/>
          <w:szCs w:val="20"/>
        </w:rPr>
        <w:t xml:space="preserve">rose by 13 mentions in Technology</w:t>
      </w:r>
      <w:r>
        <w:rPr>
          <w:rFonts w:ascii="Calibri" w:cs="Calibri" w:eastAsia="Calibri" w:hAnsi="Calibri"/>
          <w:sz w:val="20"/>
          <w:szCs w:val="20"/>
        </w:rPr>
        <w:t xml:space="preserve">. Tech is the only sector where diversity language increased after the 2021 peak. The June 2023 SCOTUS affirmative-action ruling is the clearest pivot point: by 2024, 17 fewer companies received our "HIGH" disclosure-quality grade than in 2021.</w:t>
      </w:r>
    </w:p>
    <w:p>
      <w:pPr>
        <w:spacing w:after="60" w:before="160"/>
      </w:pPr>
      <w:r>
        <w:rPr>
          <w:rFonts w:ascii="Calibri" w:cs="Calibri" w:eastAsia="Calibri" w:hAnsi="Calibri"/>
          <w:b/>
          <w:bCs/>
          <w:sz w:val="22"/>
          <w:szCs w:val="22"/>
        </w:rPr>
        <w:t xml:space="preserve">3. Energy talked about climate four times more in 2022 than 2016, then went silent</w:t>
      </w:r>
    </w:p>
    <w:p>
      <w:pPr>
        <w:spacing w:after="100" w:line="276"/>
        <w:jc w:val="both"/>
      </w:pPr>
      <w:r>
        <w:rPr>
          <w:rFonts w:ascii="Calibri" w:cs="Calibri" w:eastAsia="Calibri" w:hAnsi="Calibri"/>
          <w:sz w:val="20"/>
          <w:szCs w:val="20"/>
        </w:rPr>
        <w:t xml:space="preserve">Energy companies averaged 6 climate mentions per proxy in 2016. That rose to 26 in 2022, then crashed back to 3 in 2024 -- below the 2016 baseline. But here is the important part: the underlying net-zero commitments did NOT disappear. Seven of the ten Energy companies still carry a net-zero target year in their 2024 proxies. They kept the commitments; they just stopped talking about them.</w:t>
      </w:r>
    </w:p>
    <w:p>
      <w:pPr>
        <w:spacing w:after="60" w:before="160"/>
      </w:pPr>
      <w:r>
        <w:rPr>
          <w:rFonts w:ascii="Calibri" w:cs="Calibri" w:eastAsia="Calibri" w:hAnsi="Calibri"/>
          <w:b/>
          <w:bCs/>
          <w:sz w:val="22"/>
          <w:szCs w:val="22"/>
        </w:rPr>
        <w:t xml:space="preserve">4. Net-zero commitments are now mainstream</w:t>
      </w:r>
    </w:p>
    <w:p>
      <w:pPr>
        <w:spacing w:after="100" w:line="276"/>
        <w:jc w:val="both"/>
      </w:pPr>
      <w:r>
        <w:rPr>
          <w:rFonts w:ascii="Calibri" w:cs="Calibri" w:eastAsia="Calibri" w:hAnsi="Calibri"/>
          <w:sz w:val="20"/>
          <w:szCs w:val="20"/>
        </w:rPr>
        <w:t xml:space="preserve">Across the 50 companies, </w:t>
      </w:r>
      <w:r>
        <w:rPr>
          <w:rFonts w:ascii="Calibri" w:cs="Calibri" w:eastAsia="Calibri" w:hAnsi="Calibri"/>
          <w:b/>
          <w:bCs/>
          <w:sz w:val="20"/>
          <w:szCs w:val="20"/>
        </w:rPr>
        <w:t xml:space="preserve">30 (60%) have at some point disclosed a specific net-zero or carbon-neutral target year</w:t>
      </w:r>
      <w:r>
        <w:rPr>
          <w:rFonts w:ascii="Calibri" w:cs="Calibri" w:eastAsia="Calibri" w:hAnsi="Calibri"/>
          <w:sz w:val="20"/>
          <w:szCs w:val="20"/>
        </w:rPr>
        <w:t xml:space="preserve">. Of those, 17 settled on 2050, with others spread across 2025-2040. Financials lead with 10/10; Energy follows with 7/10; Healthcare is the laggard at 3/10. This is the disclosure that survived the 2024 retreat.</w:t>
      </w:r>
    </w:p>
    <w:p>
      <w:pPr>
        <w:spacing w:after="60" w:before="160"/>
      </w:pPr>
      <w:r>
        <w:rPr>
          <w:rFonts w:ascii="Calibri" w:cs="Calibri" w:eastAsia="Calibri" w:hAnsi="Calibri"/>
          <w:b/>
          <w:bCs/>
          <w:sz w:val="22"/>
          <w:szCs w:val="22"/>
        </w:rPr>
        <w:t xml:space="preserve">5. Board-level ESG oversight has become the standard floor of disclosure</w:t>
      </w:r>
    </w:p>
    <w:p>
      <w:pPr>
        <w:spacing w:after="100" w:line="276"/>
        <w:jc w:val="both"/>
      </w:pPr>
      <w:r>
        <w:rPr>
          <w:rFonts w:ascii="Calibri" w:cs="Calibri" w:eastAsia="Calibri" w:hAnsi="Calibri"/>
          <w:sz w:val="20"/>
          <w:szCs w:val="20"/>
        </w:rPr>
        <w:t xml:space="preserve">In every sector, more than 80% of 2024 proxies explicitly disclose a board ESG committee or named oversight responsibility. Even Technology, the slowest to adopt this, rose from 22% in 2016 to 80% in 2024. Once a board ESG committee exists, it is awkward to abolish it; the structure stays even when the surrounding language softens. If you want to measure whether a company has actually walked back ESG, look at whether the committee still exists -- not at whether the proxy still uses the word "sustainability."</w:t>
      </w:r>
    </w:p>
    <w:p>
      <w:pPr>
        <w:spacing w:after="60" w:before="160"/>
      </w:pPr>
      <w:r>
        <w:rPr>
          <w:rFonts w:ascii="Calibri" w:cs="Calibri" w:eastAsia="Calibri" w:hAnsi="Calibri"/>
          <w:b/>
          <w:bCs/>
          <w:sz w:val="22"/>
          <w:szCs w:val="22"/>
        </w:rPr>
        <w:t xml:space="preserve">6. SEC rule changes drove measurable language shifts</w:t>
      </w:r>
    </w:p>
    <w:p>
      <w:pPr>
        <w:spacing w:after="100" w:line="276"/>
        <w:jc w:val="both"/>
      </w:pPr>
      <w:r>
        <w:rPr>
          <w:rFonts w:ascii="Calibri" w:cs="Calibri" w:eastAsia="Calibri" w:hAnsi="Calibri"/>
          <w:sz w:val="20"/>
          <w:szCs w:val="20"/>
        </w:rPr>
        <w:t xml:space="preserve">The clearest cause-and-effect in the dataset is the SEC human-capital disclosure rule that took effect in November 2020. Discussion of "human capital management" rose from 16% of proxies in 2016 to 57% in 2021 -- the first full year after the rule. This is the most direct evidence in the dataset that a specific regulatory action produced a specific corporate-language change across all sectors simultaneously.</w:t>
      </w:r>
    </w:p>
    <w:p>
      <w:pPr>
        <w:spacing w:after="80" w:before="0"/>
      </w:pPr>
      <w:r>
        <w:rPr>
          <w:rFonts w:ascii="Calibri" w:cs="Calibri" w:eastAsia="Calibri" w:hAnsi="Calibri"/>
          <w:b/>
          <w:bCs/>
          <w:sz w:val="28"/>
          <w:szCs w:val="28"/>
        </w:rPr>
        <w:t xml:space="preserve">What it means in practice</w:t>
      </w:r>
    </w:p>
    <w:p>
      <w:pPr>
        <w:spacing w:after="100" w:line="276"/>
        <w:jc w:val="both"/>
      </w:pPr>
      <w:r>
        <w:rPr>
          <w:rFonts w:ascii="Calibri" w:cs="Calibri" w:eastAsia="Calibri" w:hAnsi="Calibri"/>
          <w:sz w:val="20"/>
          <w:szCs w:val="20"/>
        </w:rPr>
        <w:t xml:space="preserve">Three things follow for anyone reading proxies today. First, ESG language softening in proxies tracks the political and legal landscape more than it tracks underlying corporate strategy. Second, structural disclosures (committees, named target years, board oversight) are stickier than narrative disclosures (paragraphs on values, aspirational framing). If you want to know what a company has actually committed to, look at structure, not language. Third, the retreat is uneven by sector; Technology and Healthcare have kept their DEI and human-capital language largely intact, while Consumer Discretionary and Energy have rolled it back substantially.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2026-06-06T04:55:55.633Z</dcterms:created>
  <dcterms:modified xsi:type="dcterms:W3CDTF">2026-06-06T04:55:55.646Z</dcterms:modified>
</cp:coreProperties>
</file>

<file path=docProps/custom.xml><?xml version="1.0" encoding="utf-8"?>
<Properties xmlns="http://schemas.openxmlformats.org/officeDocument/2006/custom-properties" xmlns:vt="http://schemas.openxmlformats.org/officeDocument/2006/docPropsVTypes"/>
</file>