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0"/>
          <w:szCs w:val="30"/>
        </w:rPr>
        <w:t xml:space="preserve">Part 3 -- The Authenticity Index: Saying vs. Disclosing</w:t>
      </w:r>
    </w:p>
    <w:p>
      <w:pPr>
        <w:spacing w:after="160"/>
      </w:pPr>
      <w:r>
        <w:rPr>
          <w:rFonts w:ascii="Calibri" w:cs="Calibri" w:eastAsia="Calibri" w:hAnsi="Calibri"/>
          <w:i/>
          <w:iCs/>
          <w:color w:val="666666"/>
          <w:sz w:val="20"/>
          <w:szCs w:val="20"/>
        </w:rPr>
        <w:t xml:space="preserve">Measuring the gap between corporate marketing and SEC-filed disclosure across 50 large U.S. companies, 2016-2024</w:t>
      </w:r>
    </w:p>
    <w:p>
      <w:pPr>
        <w:pBdr>
          <w:bottom w:val="single" w:color="999999" w:sz="6" w:space="1"/>
        </w:pBdr>
        <w:spacing w:after="80" w:before="40"/>
      </w:pPr>
    </w:p>
    <w:p>
      <w:pPr>
        <w:spacing w:after="80" w:before="0"/>
      </w:pPr>
      <w:r>
        <w:rPr>
          <w:rFonts w:ascii="Calibri" w:cs="Calibri" w:eastAsia="Calibri" w:hAnsi="Calibri"/>
          <w:b/>
          <w:bCs/>
          <w:sz w:val="28"/>
          <w:szCs w:val="28"/>
        </w:rPr>
        <w:t xml:space="preserve">The question we set out to answer</w:t>
      </w:r>
    </w:p>
    <w:p>
      <w:pPr>
        <w:spacing w:after="100" w:line="276"/>
        <w:jc w:val="both"/>
      </w:pPr>
      <w:r>
        <w:rPr>
          <w:rFonts w:ascii="Calibri" w:cs="Calibri" w:eastAsia="Calibri" w:hAnsi="Calibri"/>
          <w:sz w:val="20"/>
          <w:szCs w:val="20"/>
        </w:rPr>
        <w:t xml:space="preserve">If you read a company's "About Us" page and its annual SEC filing, do they tell the same story about what the company values? About pages are marketing, written for the public, with no SEC liability. SEC proxy statements are legal documents, written for shareholders, with full liability for misstatements. When the two are written by the same company but tell different stories about ESG, that gap is itself meaningful information.</w:t>
      </w:r>
    </w:p>
    <w:p>
      <w:pPr>
        <w:spacing w:after="80" w:before="0"/>
      </w:pPr>
      <w:r>
        <w:rPr>
          <w:rFonts w:ascii="Calibri" w:cs="Calibri" w:eastAsia="Calibri" w:hAnsi="Calibri"/>
          <w:b/>
          <w:bCs/>
          <w:sz w:val="28"/>
          <w:szCs w:val="28"/>
        </w:rPr>
        <w:t xml:space="preserve">What we built</w:t>
      </w:r>
    </w:p>
    <w:p>
      <w:pPr>
        <w:spacing w:after="100" w:line="276"/>
        <w:jc w:val="both"/>
      </w:pPr>
      <w:r>
        <w:rPr>
          <w:rFonts w:ascii="Calibri" w:cs="Calibri" w:eastAsia="Calibri" w:hAnsi="Calibri"/>
          <w:sz w:val="20"/>
          <w:szCs w:val="20"/>
        </w:rPr>
        <w:t xml:space="preserve">We combined our 50-company analyses from Part 1 (About pages) and Part 2 (proxy statements) into a single Authenticity Index. For each company in each year, we computed a STATED score from the About page (how prominently the company positions itself as ESG-oriented) and an ACTUAL score from the proxy statement (how substantive its formal ESG disclosure actually is). The Index runs from 0 to 100, with 100 being perfect alignment. We computed it for 393 of the 450 possible company-years.</w:t>
      </w:r>
    </w:p>
    <w:p>
      <w:pPr>
        <w:spacing w:after="100" w:line="276"/>
        <w:jc w:val="both"/>
      </w:pPr>
      <w:r>
        <w:rPr>
          <w:rFonts w:ascii="Calibri" w:cs="Calibri" w:eastAsia="Calibri" w:hAnsi="Calibri"/>
          <w:sz w:val="20"/>
          <w:szCs w:val="20"/>
        </w:rPr>
        <w:t xml:space="preserve">The Index also separates the DIRECTION of any gap. When marketing language exceeds proxy substance, we call it </w:t>
      </w:r>
      <w:r>
        <w:rPr>
          <w:rFonts w:ascii="Calibri" w:cs="Calibri" w:eastAsia="Calibri" w:hAnsi="Calibri"/>
          <w:b/>
          <w:bCs/>
          <w:sz w:val="20"/>
          <w:szCs w:val="20"/>
        </w:rPr>
        <w:t xml:space="preserve">GREENWASH-RISK</w:t>
      </w:r>
      <w:r>
        <w:rPr>
          <w:rFonts w:ascii="Calibri" w:cs="Calibri" w:eastAsia="Calibri" w:hAnsi="Calibri"/>
          <w:sz w:val="20"/>
          <w:szCs w:val="20"/>
        </w:rPr>
        <w:t xml:space="preserve">. When proxy substance exceeds marketing language, we call it </w:t>
      </w:r>
      <w:r>
        <w:rPr>
          <w:rFonts w:ascii="Calibri" w:cs="Calibri" w:eastAsia="Calibri" w:hAnsi="Calibri"/>
          <w:b/>
          <w:bCs/>
          <w:sz w:val="20"/>
          <w:szCs w:val="20"/>
        </w:rPr>
        <w:t xml:space="preserve">STEALTH ESG</w:t>
      </w:r>
      <w:r>
        <w:rPr>
          <w:rFonts w:ascii="Calibri" w:cs="Calibri" w:eastAsia="Calibri" w:hAnsi="Calibri"/>
          <w:sz w:val="20"/>
          <w:szCs w:val="20"/>
        </w:rPr>
        <w:t xml:space="preserve">. When the two match within a 15-percentile-point tolerance, we call it </w:t>
      </w:r>
      <w:r>
        <w:rPr>
          <w:rFonts w:ascii="Calibri" w:cs="Calibri" w:eastAsia="Calibri" w:hAnsi="Calibri"/>
          <w:b/>
          <w:bCs/>
          <w:sz w:val="20"/>
          <w:szCs w:val="20"/>
        </w:rPr>
        <w:t xml:space="preserve">ALIGNED</w:t>
      </w:r>
      <w:r>
        <w:rPr>
          <w:rFonts w:ascii="Calibri" w:cs="Calibri" w:eastAsia="Calibri" w:hAnsi="Calibri"/>
          <w:sz w:val="20"/>
          <w:szCs w:val="20"/>
        </w:rPr>
        <w:t xml:space="preserve">.</w:t>
      </w:r>
    </w:p>
    <w:p>
      <w:pPr>
        <w:spacing w:after="80" w:before="0"/>
      </w:pPr>
      <w:r>
        <w:rPr>
          <w:rFonts w:ascii="Calibri" w:cs="Calibri" w:eastAsia="Calibri" w:hAnsi="Calibri"/>
          <w:b/>
          <w:bCs/>
          <w:sz w:val="28"/>
          <w:szCs w:val="28"/>
        </w:rPr>
        <w:t xml:space="preserve">Does the index pass the smell test?</w:t>
      </w:r>
    </w:p>
    <w:p>
      <w:pPr>
        <w:spacing w:after="100" w:line="276"/>
        <w:jc w:val="both"/>
      </w:pPr>
      <w:r>
        <w:rPr>
          <w:rFonts w:ascii="Calibri" w:cs="Calibri" w:eastAsia="Calibri" w:hAnsi="Calibri"/>
          <w:sz w:val="20"/>
          <w:szCs w:val="20"/>
        </w:rPr>
        <w:t xml:space="preserve">Before trusting any number, we predicted where five specific companies SHOULD fall. Tesla famously markets itself around saving the planet but files notoriously sparse proxies -- we predicted GREENWASH-RISK, and the index agreed (gap -32). Berkshire Hathaway is famous for AVOIDING ESG marketing but has substantive proxy ESG -- we predicted STEALTH, and the index agreed (gap +47). Chevron is regulated to disclose substantively but keeps marketing quiet -- STEALTH (gap +32). NVIDIA does not market ESG and does not disclose much -- ALIGNED at the low end. Microsoft is publicly vocal but legally cautious -- GREENWASH-RISK. All five predictions matched.</w:t>
      </w:r>
    </w:p>
    <w:p>
      <w:pPr>
        <w:spacing w:after="80" w:before="0"/>
      </w:pPr>
      <w:r>
        <w:rPr>
          <w:rFonts w:ascii="Calibri" w:cs="Calibri" w:eastAsia="Calibri" w:hAnsi="Calibri"/>
          <w:b/>
          <w:bCs/>
          <w:sz w:val="28"/>
          <w:szCs w:val="28"/>
        </w:rPr>
        <w:t xml:space="preserve">Three findings that should change how you read corporate ESG</w:t>
      </w:r>
    </w:p>
    <w:p>
      <w:pPr>
        <w:spacing w:after="60" w:before="160"/>
      </w:pPr>
      <w:r>
        <w:rPr>
          <w:rFonts w:ascii="Calibri" w:cs="Calibri" w:eastAsia="Calibri" w:hAnsi="Calibri"/>
          <w:b/>
          <w:bCs/>
          <w:sz w:val="22"/>
          <w:szCs w:val="22"/>
        </w:rPr>
        <w:t xml:space="preserve">1. Half of large companies are meaningfully misaligned</w:t>
      </w:r>
    </w:p>
    <w:p>
      <w:pPr>
        <w:spacing w:after="100" w:line="276"/>
        <w:jc w:val="both"/>
      </w:pPr>
      <w:r>
        <w:rPr>
          <w:rFonts w:ascii="Calibri" w:cs="Calibri" w:eastAsia="Calibri" w:hAnsi="Calibri"/>
          <w:sz w:val="20"/>
          <w:szCs w:val="20"/>
        </w:rPr>
        <w:t xml:space="preserve">Only 32% of company-years sit inside the alignment band; the other 68% lean over-claim or under-claim by enough to matter. Misalignment is the modal outcome, not the exception. The standard story "company says X, does X" is false more often than it is true at the level of disclosure.</w:t>
      </w:r>
    </w:p>
    <w:p>
      <w:pPr>
        <w:spacing w:after="60" w:before="160"/>
      </w:pPr>
      <w:r>
        <w:rPr>
          <w:rFonts w:ascii="Calibri" w:cs="Calibri" w:eastAsia="Calibri" w:hAnsi="Calibri"/>
          <w:b/>
          <w:bCs/>
          <w:sz w:val="22"/>
          <w:szCs w:val="22"/>
        </w:rPr>
        <w:t xml:space="preserve">2. Sectoral patterns of misalignment are systematic</w:t>
      </w:r>
    </w:p>
    <w:p>
      <w:pPr>
        <w:spacing w:after="100" w:line="276"/>
        <w:jc w:val="both"/>
      </w:pPr>
      <w:r>
        <w:rPr>
          <w:rFonts w:ascii="Calibri" w:cs="Calibri" w:eastAsia="Calibri" w:hAnsi="Calibri"/>
          <w:sz w:val="20"/>
          <w:szCs w:val="20"/>
        </w:rPr>
        <w:t xml:space="preserve">Technology and Consumer Discretionary companies systematically over-claim on About pages relative to proxy substance. Energy and Healthcare systematically under-claim -- they disclose more in legal filings than they market to the public. Financials are roughly balanced. This is consistent with each sector's incentive structure: consumer-facing brands compete for purpose-driven customers and need positive ESG framing publicly; regulated industries are forced to disclose substantively but have no consumer incentive to lead with it.</w:t>
      </w:r>
    </w:p>
    <w:p>
      <w:pPr>
        <w:spacing w:after="60" w:before="160"/>
      </w:pPr>
      <w:r>
        <w:rPr>
          <w:rFonts w:ascii="Calibri" w:cs="Calibri" w:eastAsia="Calibri" w:hAnsi="Calibri"/>
          <w:b/>
          <w:bCs/>
          <w:sz w:val="22"/>
          <w:szCs w:val="22"/>
        </w:rPr>
        <w:t xml:space="preserve">3. The biggest greenwash-risk names include surprises</w:t>
      </w:r>
    </w:p>
    <w:p>
      <w:pPr>
        <w:spacing w:after="100" w:line="276"/>
        <w:jc w:val="both"/>
      </w:pPr>
      <w:r>
        <w:rPr>
          <w:rFonts w:ascii="Calibri" w:cs="Calibri" w:eastAsia="Calibri" w:hAnsi="Calibri"/>
          <w:sz w:val="20"/>
          <w:szCs w:val="20"/>
        </w:rPr>
        <w:t xml:space="preserve">The companies whose marketing most exceeds their proxy substance are Merck, Tesla, BlackRock, Microsoft, Morgan Stanley, Nike, and Bank of America. Some are intuitive (Tesla's mission language outpaces its actual proxy disclosure). Some are less obvious. BlackRock, despite Larry Fink's high-profile ESG letters, shows more marketing language than substantive proxy disclosure over the nine-year window. This does not necessarily mean BlackRock is greenwashing in any bad-faith sense; it may mean the legal team is more cautious than the marketing team. But the gap is real and worth noticing.</w:t>
      </w:r>
    </w:p>
    <w:p>
      <w:pPr>
        <w:spacing w:after="80" w:before="0"/>
      </w:pPr>
      <w:r>
        <w:rPr>
          <w:rFonts w:ascii="Calibri" w:cs="Calibri" w:eastAsia="Calibri" w:hAnsi="Calibri"/>
          <w:b/>
          <w:bCs/>
          <w:sz w:val="28"/>
          <w:szCs w:val="28"/>
        </w:rPr>
        <w:t xml:space="preserve">What this index is good for and what it is not</w:t>
      </w:r>
    </w:p>
    <w:p>
      <w:pPr>
        <w:spacing w:after="100" w:line="276"/>
        <w:jc w:val="both"/>
      </w:pPr>
      <w:r>
        <w:rPr>
          <w:rFonts w:ascii="Calibri" w:cs="Calibri" w:eastAsia="Calibri" w:hAnsi="Calibri"/>
          <w:sz w:val="20"/>
          <w:szCs w:val="20"/>
        </w:rPr>
        <w:t xml:space="preserve">It is useful for spotting outliers worth individual investigation, tracking how a single company's alignment changes year-to-year, and noticing sector-level patterns. It is NOT useful for ranking companies by ESG quality. A company that says nothing AND does nothing scores the same as one that says everything AND does everything -- both are aligned, but they are not equivalent on ESG performance. The index measures whether the marketing department and the legal department are telling the same story, nothing more. It is one piece of evidence in a larger picture, not a verdict on a company's character.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2026-06-06T05:22:19.582Z</dcterms:created>
  <dcterms:modified xsi:type="dcterms:W3CDTF">2026-06-06T05:22:19.594Z</dcterms:modified>
</cp:coreProperties>
</file>

<file path=docProps/custom.xml><?xml version="1.0" encoding="utf-8"?>
<Properties xmlns="http://schemas.openxmlformats.org/officeDocument/2006/custom-properties" xmlns:vt="http://schemas.openxmlformats.org/officeDocument/2006/docPropsVTypes"/>
</file>