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Part 4 -- A Surprising Result About Our Own Index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Testing whether the Authenticity Index from Part 3 predicts subsequent behavior -- and what we learned when it didn't</w:t>
      </w:r>
    </w:p>
    <w:p>
      <w:pPr>
        <w:pBdr>
          <w:bottom w:val="single" w:color="999999" w:sz="6" w:space="1"/>
        </w:pBdr>
        <w:spacing w:after="80" w:before="4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The question we asked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Part 3 produced an Authenticity Index that flagged some companies as GREENWASH-RISK (loud public ESG claims, thin SEC disclosure substance) and others as STEALTH (quiet public claims, substantial SEC disclosure). Part 2 separately showed that diversity-related language in proxies retreated sharply between 2021 and 2024. The obvious next question: were the companies that previously over-claimed the ones that walked it back hardest?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We did not know the answer in advance. Two plausible directions: companies whose loud claims were never backed by substance could retract them cheaply (cheap talk), OR loud claims could be reputationally expensive to retract, leading over-claimers to dig in (sticky commitment).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The prediction failed -- which is itself useful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Prior GREENWASH-RISK status did NOT robustly predict subsequent DEI retreat. Across three different retreat metrics, correlations ranged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-0.21 to +0.03</w:t>
      </w:r>
      <w:r>
        <w:rPr>
          <w:rFonts w:ascii="Calibri" w:cs="Calibri" w:eastAsia="Calibri" w:hAnsi="Calibri"/>
          <w:sz w:val="20"/>
          <w:szCs w:val="20"/>
        </w:rPr>
        <w:t xml:space="preserve">, all weak or marginal. The strongest result (r = -0.25, p = 0.09) leaned toward sticky commitment, but the picture differs across metrics. The honest conclusion: the Authenticity Index does not, by itself, predict what companies will do in 2-3 years.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Why the prediction failed: a finding that reframes the index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To understand WHY the prediction was weak, we measured how stable the Authenticity Index actually is within a company over time. We expected it to be roughly a stable trait of the organization. We were wrong.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 stability checks, one finding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Year-to-year authenticity scores within a company correlate at only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 = 0.21</w:t>
      </w:r>
      <w:r>
        <w:rPr>
          <w:rFonts w:ascii="Calibri" w:cs="Calibri" w:eastAsia="Calibri" w:hAnsi="Calibri"/>
          <w:sz w:val="20"/>
          <w:szCs w:val="20"/>
        </w:rPr>
        <w:t xml:space="preserve"> -- very weak. Variance decomposition: only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18% of variance is between-company</w:t>
      </w:r>
      <w:r>
        <w:rPr>
          <w:rFonts w:ascii="Calibri" w:cs="Calibri" w:eastAsia="Calibri" w:hAnsi="Calibri"/>
          <w:sz w:val="20"/>
          <w:szCs w:val="20"/>
        </w:rPr>
        <w:t xml:space="preserve"> (a property of WHICH company), while 82% is within-company across years (a property of WHEN you measure them). Companies change alignment category (ALIGNED / GREENWASH / STEALTH)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52% of consecutive-year pairs</w:t>
      </w:r>
      <w:r>
        <w:rPr>
          <w:rFonts w:ascii="Calibri" w:cs="Calibri" w:eastAsia="Calibri" w:hAnsi="Calibri"/>
          <w:sz w:val="20"/>
          <w:szCs w:val="20"/>
        </w:rPr>
        <w:t xml:space="preserve">, and 42% of the time flip direction entirely (over-claim to under-claim or vice versa).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Authenticity, as we measured it, is more of a state than a trait. The same company can be GREENWASH-RISK in 2021, ALIGNED in 2022, STEALTH in 2023, and back to GREENWASH-RISK in 2024. Predicting 2024 from 2021-2022 is like predicting next year's weather from last year's: some signal, mostly noise.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What this means for reading the Part 3 index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The Index is a snapshot, not a forecast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Knowing a company was GREENWASH-RISK in 2022 tells you something true about THAT year. It tells you very little about what they will do in 2024. The categorization describes a current relationship between marketing and disclosure, not a permanent organizational character.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Use multi-year averages, not single years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The validity-check companies in Part 3 (Tesla, Berkshire, Chevron, NVIDIA, Microsoft) were correctly identified using 9-year averages. That averaging is doing real work. Their single-year scores swing widely; the averages are stable. Anyone using the Index should aggregate over multiple years.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The category label is a diagnosis, not a verdict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company that scores GREENWASH-RISK in 2022 is being accurately described as misaligned in 2022. It is not being accused of being a greenwasher in any deeper or permanent sense. The label moves; using it as a stable characterization is incorrect.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The takeaway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We started thinking we would find a clean answer to a clean question. We found something messier and more useful: our own measure moves more within companies than between them, and the categorical labels we put on companies in Part 3 are less stable than we assumed. That changes what the Index can and cannot be used for. We would not have learned this from running a confirmatory analysis.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2026-06-06T05:48:24.835Z</dcterms:created>
  <dcterms:modified xsi:type="dcterms:W3CDTF">2026-06-06T05:48:24.844Z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