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jc w:val="center"/>
      </w:pPr>
      <w:r>
        <w:rPr>
          <w:rFonts w:ascii="Times New Roman" w:hAnsi="Times New Roman"/>
          <w:b/>
          <w:i w:val="0"/>
          <w:sz w:val="24"/>
        </w:rPr>
        <w:t>FLORIDA STANDARD JURY INSTRUCTION 3.9(c)</w:t>
      </w:r>
    </w:p>
    <w:p>
      <w:pPr>
        <w:spacing w:before="0" w:after="240" w:line="480" w:lineRule="auto"/>
        <w:jc w:val="center"/>
      </w:pPr>
      <w:r>
        <w:rPr>
          <w:rFonts w:ascii="Times New Roman" w:hAnsi="Times New Roman"/>
          <w:b/>
          <w:i w:val="0"/>
          <w:sz w:val="24"/>
        </w:rPr>
        <w:t>EYEWITNESS IDENTIFICATION</w:t>
      </w:r>
    </w:p>
    <w:p>
      <w:pPr>
        <w:spacing w:before="0" w:after="120" w:line="480" w:lineRule="auto"/>
        <w:jc w:val="both"/>
      </w:pPr>
      <w:r>
        <w:rPr>
          <w:rFonts w:ascii="Times New Roman" w:hAnsi="Times New Roman"/>
          <w:b w:val="0"/>
          <w:i/>
          <w:sz w:val="24"/>
        </w:rPr>
        <w:t>Source: LexisNexis Forms FORM 68710-8.06 — Florida Criminal Practice and Procedure. This file is stored for reference when preparing identification motions; it is not a fillable motion template.</w:t>
      </w:r>
    </w:p>
    <w:p>
      <w:pPr>
        <w:spacing w:before="0" w:after="120" w:line="480" w:lineRule="auto"/>
      </w:pPr>
      <w:r>
        <w:rPr>
          <w:rFonts w:ascii="Times New Roman" w:hAnsi="Times New Roman"/>
          <w:b w:val="0"/>
          <w:i/>
          <w:sz w:val="24"/>
        </w:rPr>
        <w:t>Give if eyewitness identification is a disputed issue and if requested.</w:t>
      </w:r>
    </w:p>
    <w:p>
      <w:pPr>
        <w:spacing w:before="0" w:after="120" w:line="480" w:lineRule="auto"/>
        <w:ind w:firstLine="720"/>
        <w:jc w:val="both"/>
      </w:pPr>
      <w:r>
        <w:rPr>
          <w:rFonts w:ascii="Times New Roman" w:hAnsi="Times New Roman"/>
          <w:b w:val="0"/>
          <w:i w:val="0"/>
          <w:sz w:val="24"/>
        </w:rPr>
        <w:t>You have heard testimony of eyewitness identification. In deciding how much weight to give to this testimony, you may consider the various factors mentioned in these instructions concerning credibility of witnesses.</w:t>
      </w:r>
    </w:p>
    <w:p>
      <w:pPr>
        <w:spacing w:before="0" w:after="120" w:line="480" w:lineRule="auto"/>
        <w:ind w:firstLine="720"/>
        <w:jc w:val="both"/>
      </w:pPr>
      <w:r>
        <w:rPr>
          <w:rFonts w:ascii="Times New Roman" w:hAnsi="Times New Roman"/>
          <w:b w:val="0"/>
          <w:i w:val="0"/>
          <w:sz w:val="24"/>
        </w:rPr>
        <w:t>In addition to those factors, in evaluating eyewitness identification testimony, you may also consider the capacity and opportunity to observe; whether the identification was the product of the witness’s own recollection or influence/suggestiveness; the circumstances of presentation for identification; inconsistent identifications; failures to identify; familiarity with the subject; lapses of time; cross-racial identification concerns; and the totality of the circumstances. Lineup administration requirements under Florida law (independent administrator or neutral alternatives, and required pre-lineup instructions) may also be considered in assessing reliability.</w:t>
      </w:r>
    </w:p>
    <w:p>
      <w:pPr>
        <w:spacing w:before="240" w:after="120" w:line="480" w:lineRule="auto"/>
      </w:pPr>
      <w:r>
        <w:rPr>
          <w:rFonts w:ascii="Times New Roman" w:hAnsi="Times New Roman"/>
          <w:b w:val="0"/>
          <w:i/>
          <w:sz w:val="24"/>
        </w:rPr>
        <w:t>Full original text is retained in templates/lexis/sources/8.06-florida-jury-instruction-3.9c.pdf.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