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58" w:rsidRDefault="00537258" w:rsidP="00537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3870"/>
        <w:gridCol w:w="4422"/>
      </w:tblGrid>
      <w:tr w:rsidR="00537258" w:rsidTr="00436A23">
        <w:tblPrEx>
          <w:tblCellMar>
            <w:top w:w="0" w:type="dxa"/>
            <w:bottom w:w="0" w:type="dxa"/>
          </w:tblCellMar>
        </w:tblPrEx>
        <w:tc>
          <w:tcPr>
            <w:tcW w:w="1378" w:type="dxa"/>
          </w:tcPr>
          <w:p w:rsidR="00537258" w:rsidRDefault="00537258" w:rsidP="00436A23">
            <w:pPr>
              <w:jc w:val="center"/>
              <w:rPr>
                <w:b/>
              </w:rPr>
            </w:pPr>
            <w:r>
              <w:rPr>
                <w:b/>
              </w:rPr>
              <w:t>Dispositivo</w:t>
            </w:r>
          </w:p>
        </w:tc>
        <w:tc>
          <w:tcPr>
            <w:tcW w:w="3870" w:type="dxa"/>
          </w:tcPr>
          <w:p w:rsidR="00537258" w:rsidRDefault="00537258" w:rsidP="00436A23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22" w:type="dxa"/>
          </w:tcPr>
          <w:p w:rsidR="00537258" w:rsidRDefault="00537258" w:rsidP="00436A23">
            <w:pPr>
              <w:pStyle w:val="Ttulo1"/>
            </w:pPr>
            <w:r>
              <w:t>Iconos</w:t>
            </w:r>
          </w:p>
        </w:tc>
      </w:tr>
      <w:tr w:rsidR="00537258" w:rsidTr="00436A23">
        <w:tblPrEx>
          <w:tblCellMar>
            <w:top w:w="0" w:type="dxa"/>
            <w:bottom w:w="0" w:type="dxa"/>
          </w:tblCellMar>
        </w:tblPrEx>
        <w:tc>
          <w:tcPr>
            <w:tcW w:w="1378" w:type="dxa"/>
          </w:tcPr>
          <w:p w:rsidR="00537258" w:rsidRDefault="00537258" w:rsidP="00436A23">
            <w:proofErr w:type="spellStart"/>
            <w:r>
              <w:t>Hub</w:t>
            </w:r>
            <w:proofErr w:type="spellEnd"/>
          </w:p>
        </w:tc>
        <w:tc>
          <w:tcPr>
            <w:tcW w:w="3870" w:type="dxa"/>
          </w:tcPr>
          <w:p w:rsidR="00537258" w:rsidRDefault="00537258" w:rsidP="00436A23">
            <w:r>
              <w:t>Permite a múltiples equipos enviar y recibir paquetes.  La señalización recibida por un puerto es replicada en todos los otros.</w:t>
            </w:r>
          </w:p>
          <w:p w:rsidR="00537258" w:rsidRDefault="00537258" w:rsidP="00436A23">
            <w:r>
              <w:t>Velocidad de transmisión en cada uno de sus puertos:  10/100 Mbps</w:t>
            </w:r>
          </w:p>
        </w:tc>
        <w:tc>
          <w:tcPr>
            <w:tcW w:w="4422" w:type="dxa"/>
          </w:tcPr>
          <w:p w:rsidR="00537258" w:rsidRDefault="00537258" w:rsidP="00436A23">
            <w:pPr>
              <w:jc w:val="center"/>
            </w:pPr>
          </w:p>
          <w:p w:rsidR="00537258" w:rsidRDefault="00537258" w:rsidP="00436A23">
            <w:pPr>
              <w:jc w:val="center"/>
            </w:pPr>
            <w:r>
              <w:object w:dxaOrig="1155" w:dyaOrig="5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95pt;height:29pt" o:ole="" fillcolor="window">
                  <v:imagedata r:id="rId5" o:title=""/>
                </v:shape>
                <o:OLEObject Type="Embed" ProgID="PBrush" ShapeID="_x0000_i1025" DrawAspect="Content" ObjectID="_1519206513" r:id="rId6"/>
              </w:object>
            </w:r>
          </w:p>
        </w:tc>
      </w:tr>
      <w:tr w:rsidR="00537258" w:rsidTr="00436A23">
        <w:tblPrEx>
          <w:tblCellMar>
            <w:top w:w="0" w:type="dxa"/>
            <w:bottom w:w="0" w:type="dxa"/>
          </w:tblCellMar>
        </w:tblPrEx>
        <w:tc>
          <w:tcPr>
            <w:tcW w:w="1378" w:type="dxa"/>
          </w:tcPr>
          <w:p w:rsidR="00537258" w:rsidRDefault="00537258" w:rsidP="00436A23">
            <w:proofErr w:type="spellStart"/>
            <w:r>
              <w:t>Switch</w:t>
            </w:r>
            <w:proofErr w:type="spellEnd"/>
          </w:p>
        </w:tc>
        <w:tc>
          <w:tcPr>
            <w:tcW w:w="3870" w:type="dxa"/>
          </w:tcPr>
          <w:p w:rsidR="00537258" w:rsidRDefault="00537258" w:rsidP="00436A23">
            <w:r>
              <w:t>Permite a múltiples equipos enviar y recibir paquetes.  La señalización reciba por un puerto es replicada en la línea de salida en la cual se encuentra el destino.</w:t>
            </w:r>
          </w:p>
          <w:p w:rsidR="00537258" w:rsidRDefault="00537258" w:rsidP="00436A23"/>
          <w:p w:rsidR="00537258" w:rsidRDefault="00537258" w:rsidP="00436A23">
            <w:r>
              <w:t xml:space="preserve">Cada segmento o línea al </w:t>
            </w:r>
            <w:proofErr w:type="spellStart"/>
            <w:r>
              <w:t>switch</w:t>
            </w:r>
            <w:proofErr w:type="spellEnd"/>
            <w:r>
              <w:t xml:space="preserve"> tiene su propio dominio de colisión.  Todos los dispositivos conectados  tienen el mismo dominio de difusión.</w:t>
            </w:r>
          </w:p>
          <w:p w:rsidR="00537258" w:rsidRDefault="00537258" w:rsidP="00436A23"/>
          <w:p w:rsidR="00537258" w:rsidRDefault="00537258" w:rsidP="00436A23">
            <w:r>
              <w:t>Velocidad de operación en cada uno de sus puertos:  10/100/1000  Mbps.</w:t>
            </w:r>
          </w:p>
        </w:tc>
        <w:tc>
          <w:tcPr>
            <w:tcW w:w="4422" w:type="dxa"/>
          </w:tcPr>
          <w:p w:rsidR="00537258" w:rsidRDefault="00537258" w:rsidP="00436A23">
            <w:pPr>
              <w:jc w:val="center"/>
            </w:pPr>
          </w:p>
          <w:p w:rsidR="00537258" w:rsidRDefault="00537258" w:rsidP="00436A23">
            <w:pPr>
              <w:jc w:val="center"/>
            </w:pPr>
            <w:r>
              <w:object w:dxaOrig="1320" w:dyaOrig="660">
                <v:shape id="_x0000_i1026" type="#_x0000_t75" style="width:66.4pt;height:32.75pt" o:ole="" fillcolor="window">
                  <v:imagedata r:id="rId7" o:title=""/>
                </v:shape>
                <o:OLEObject Type="Embed" ProgID="PBrush" ShapeID="_x0000_i1026" DrawAspect="Content" ObjectID="_1519206514" r:id="rId8"/>
              </w:object>
            </w:r>
          </w:p>
          <w:p w:rsidR="00537258" w:rsidRDefault="00537258" w:rsidP="00436A23">
            <w:pPr>
              <w:jc w:val="center"/>
            </w:pPr>
          </w:p>
          <w:p w:rsidR="00537258" w:rsidRDefault="00537258" w:rsidP="00436A23">
            <w:pPr>
              <w:jc w:val="center"/>
            </w:pPr>
          </w:p>
          <w:p w:rsidR="00537258" w:rsidRDefault="00537258" w:rsidP="00436A23">
            <w:pPr>
              <w:jc w:val="center"/>
            </w:pPr>
          </w:p>
          <w:p w:rsidR="00537258" w:rsidRDefault="00537258" w:rsidP="00436A23">
            <w:pPr>
              <w:jc w:val="center"/>
            </w:pPr>
          </w:p>
          <w:p w:rsidR="00537258" w:rsidRDefault="00537258" w:rsidP="00436A23">
            <w:pPr>
              <w:jc w:val="center"/>
            </w:pPr>
          </w:p>
          <w:p w:rsidR="00537258" w:rsidRDefault="00537258" w:rsidP="00436A2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9730" cy="391795"/>
                  <wp:effectExtent l="0" t="0" r="1270" b="8255"/>
                  <wp:docPr id="2" name="Imagen 2" descr="Layer 3 Swit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yer 3 Swit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258" w:rsidRDefault="00537258" w:rsidP="00436A23"/>
        </w:tc>
      </w:tr>
      <w:tr w:rsidR="00537258" w:rsidTr="00436A23">
        <w:tblPrEx>
          <w:tblCellMar>
            <w:top w:w="0" w:type="dxa"/>
            <w:bottom w:w="0" w:type="dxa"/>
          </w:tblCellMar>
        </w:tblPrEx>
        <w:tc>
          <w:tcPr>
            <w:tcW w:w="1378" w:type="dxa"/>
          </w:tcPr>
          <w:p w:rsidR="00537258" w:rsidRDefault="00537258" w:rsidP="00436A23">
            <w:proofErr w:type="spellStart"/>
            <w:r>
              <w:t>Router</w:t>
            </w:r>
            <w:proofErr w:type="spellEnd"/>
          </w:p>
        </w:tc>
        <w:tc>
          <w:tcPr>
            <w:tcW w:w="3870" w:type="dxa"/>
          </w:tcPr>
          <w:p w:rsidR="00537258" w:rsidRDefault="00537258" w:rsidP="00436A23">
            <w:r>
              <w:t>Equipo dedicado, conectado a dos o más redes cuya función es adelantar paquetes de una red a otra basado en la dirección destino incluida en el encabezado del paquete.  Además:</w:t>
            </w:r>
          </w:p>
          <w:p w:rsidR="00537258" w:rsidRDefault="00537258" w:rsidP="00537258">
            <w:pPr>
              <w:numPr>
                <w:ilvl w:val="0"/>
                <w:numId w:val="1"/>
              </w:numPr>
            </w:pPr>
            <w:r>
              <w:t>controlar la difusión</w:t>
            </w:r>
          </w:p>
          <w:p w:rsidR="00537258" w:rsidRDefault="00537258" w:rsidP="00537258">
            <w:pPr>
              <w:numPr>
                <w:ilvl w:val="0"/>
                <w:numId w:val="1"/>
              </w:numPr>
            </w:pPr>
            <w:r>
              <w:t>determinación de rutas óptimas</w:t>
            </w:r>
          </w:p>
          <w:p w:rsidR="00537258" w:rsidRDefault="00537258" w:rsidP="00537258">
            <w:pPr>
              <w:numPr>
                <w:ilvl w:val="0"/>
                <w:numId w:val="1"/>
              </w:numPr>
            </w:pPr>
            <w:r>
              <w:t>administración de tráfico</w:t>
            </w:r>
          </w:p>
          <w:p w:rsidR="00537258" w:rsidRDefault="00537258" w:rsidP="00537258">
            <w:pPr>
              <w:numPr>
                <w:ilvl w:val="0"/>
                <w:numId w:val="1"/>
              </w:numPr>
            </w:pPr>
            <w:r>
              <w:t>conexión a los servicios de WAN.</w:t>
            </w:r>
          </w:p>
        </w:tc>
        <w:tc>
          <w:tcPr>
            <w:tcW w:w="4422" w:type="dxa"/>
          </w:tcPr>
          <w:p w:rsidR="00537258" w:rsidRDefault="00537258" w:rsidP="00436A23">
            <w:pPr>
              <w:jc w:val="center"/>
            </w:pPr>
            <w:r>
              <w:object w:dxaOrig="1005" w:dyaOrig="675">
                <v:shape id="_x0000_i1027" type="#_x0000_t75" style="width:50.5pt;height:33.65pt" o:ole="" fillcolor="window">
                  <v:imagedata r:id="rId10" o:title=""/>
                </v:shape>
                <o:OLEObject Type="Embed" ProgID="PBrush" ShapeID="_x0000_i1027" DrawAspect="Content" ObjectID="_1519206515" r:id="rId11"/>
              </w:object>
            </w:r>
          </w:p>
        </w:tc>
      </w:tr>
      <w:tr w:rsidR="00537258" w:rsidTr="00436A23">
        <w:tblPrEx>
          <w:tblCellMar>
            <w:top w:w="0" w:type="dxa"/>
            <w:bottom w:w="0" w:type="dxa"/>
          </w:tblCellMar>
        </w:tblPrEx>
        <w:tc>
          <w:tcPr>
            <w:tcW w:w="1378" w:type="dxa"/>
          </w:tcPr>
          <w:p w:rsidR="00537258" w:rsidRDefault="00537258" w:rsidP="00436A23">
            <w:r>
              <w:t>Servidor de impresión</w:t>
            </w:r>
          </w:p>
        </w:tc>
        <w:tc>
          <w:tcPr>
            <w:tcW w:w="3870" w:type="dxa"/>
          </w:tcPr>
          <w:p w:rsidR="00537258" w:rsidRDefault="00537258" w:rsidP="00436A23">
            <w:r>
              <w:t>Se encarga de recibir los trabajos de impresión de una cola de impresión en un servidor.</w:t>
            </w:r>
          </w:p>
        </w:tc>
        <w:tc>
          <w:tcPr>
            <w:tcW w:w="4422" w:type="dxa"/>
          </w:tcPr>
          <w:p w:rsidR="00537258" w:rsidRDefault="00537258" w:rsidP="00436A23">
            <w:pPr>
              <w:jc w:val="center"/>
            </w:pPr>
          </w:p>
        </w:tc>
      </w:tr>
      <w:tr w:rsidR="00537258" w:rsidTr="00436A23">
        <w:tblPrEx>
          <w:tblCellMar>
            <w:top w:w="0" w:type="dxa"/>
            <w:bottom w:w="0" w:type="dxa"/>
          </w:tblCellMar>
        </w:tblPrEx>
        <w:tc>
          <w:tcPr>
            <w:tcW w:w="1378" w:type="dxa"/>
          </w:tcPr>
          <w:p w:rsidR="00537258" w:rsidRDefault="00537258" w:rsidP="00436A23">
            <w:r>
              <w:t>Convertidor de medio.</w:t>
            </w:r>
          </w:p>
        </w:tc>
        <w:tc>
          <w:tcPr>
            <w:tcW w:w="3870" w:type="dxa"/>
          </w:tcPr>
          <w:p w:rsidR="00537258" w:rsidRDefault="00537258" w:rsidP="00436A23">
            <w:r>
              <w:t xml:space="preserve">Permitir regenerar la señalización de un tipo de medio a otro. </w:t>
            </w:r>
          </w:p>
        </w:tc>
        <w:tc>
          <w:tcPr>
            <w:tcW w:w="4422" w:type="dxa"/>
          </w:tcPr>
          <w:p w:rsidR="00537258" w:rsidRDefault="00537258" w:rsidP="00436A23">
            <w:pPr>
              <w:jc w:val="center"/>
            </w:pPr>
          </w:p>
        </w:tc>
      </w:tr>
      <w:tr w:rsidR="00537258" w:rsidTr="00436A23">
        <w:tblPrEx>
          <w:tblCellMar>
            <w:top w:w="0" w:type="dxa"/>
            <w:bottom w:w="0" w:type="dxa"/>
          </w:tblCellMar>
        </w:tblPrEx>
        <w:tc>
          <w:tcPr>
            <w:tcW w:w="1378" w:type="dxa"/>
          </w:tcPr>
          <w:p w:rsidR="00537258" w:rsidRDefault="00537258" w:rsidP="00436A23">
            <w:r>
              <w:t>Servidor de acceso</w:t>
            </w:r>
          </w:p>
        </w:tc>
        <w:tc>
          <w:tcPr>
            <w:tcW w:w="3870" w:type="dxa"/>
          </w:tcPr>
          <w:p w:rsidR="00537258" w:rsidRDefault="00537258" w:rsidP="00436A23">
            <w:r>
              <w:t>Recibe llamadas vía modem de los usuarios que desean utilizar los servicios de la red.</w:t>
            </w:r>
          </w:p>
        </w:tc>
        <w:tc>
          <w:tcPr>
            <w:tcW w:w="4422" w:type="dxa"/>
          </w:tcPr>
          <w:p w:rsidR="00537258" w:rsidRDefault="00537258" w:rsidP="00436A2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0675" cy="344170"/>
                  <wp:effectExtent l="0" t="0" r="3175" b="0"/>
                  <wp:docPr id="1" name="Imagen 1" descr="Comm Server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mm Server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258" w:rsidTr="00436A23">
        <w:tblPrEx>
          <w:tblCellMar>
            <w:top w:w="0" w:type="dxa"/>
            <w:bottom w:w="0" w:type="dxa"/>
          </w:tblCellMar>
        </w:tblPrEx>
        <w:tc>
          <w:tcPr>
            <w:tcW w:w="1378" w:type="dxa"/>
          </w:tcPr>
          <w:p w:rsidR="00537258" w:rsidRDefault="00537258" w:rsidP="00436A23">
            <w:r>
              <w:t>Puntos de acceso.</w:t>
            </w:r>
          </w:p>
        </w:tc>
        <w:tc>
          <w:tcPr>
            <w:tcW w:w="3870" w:type="dxa"/>
          </w:tcPr>
          <w:p w:rsidR="00537258" w:rsidRDefault="00537258" w:rsidP="00436A23">
            <w:r>
              <w:t xml:space="preserve">Tiene la misma funcionalidad  que la de un </w:t>
            </w:r>
            <w:proofErr w:type="spellStart"/>
            <w:r>
              <w:t>hub</w:t>
            </w:r>
            <w:proofErr w:type="spellEnd"/>
            <w:r>
              <w:t>.    Velocidad de operación</w:t>
            </w:r>
            <w:proofErr w:type="gramStart"/>
            <w:r>
              <w:t>:  54</w:t>
            </w:r>
            <w:proofErr w:type="gramEnd"/>
            <w:r>
              <w:t xml:space="preserve"> Mbps.</w:t>
            </w:r>
          </w:p>
          <w:p w:rsidR="00537258" w:rsidRDefault="00537258" w:rsidP="00436A23"/>
        </w:tc>
        <w:tc>
          <w:tcPr>
            <w:tcW w:w="4422" w:type="dxa"/>
          </w:tcPr>
          <w:p w:rsidR="00537258" w:rsidRDefault="00537258" w:rsidP="00436A23">
            <w:pPr>
              <w:jc w:val="center"/>
            </w:pPr>
          </w:p>
          <w:p w:rsidR="00537258" w:rsidRDefault="00537258" w:rsidP="00436A23">
            <w:pPr>
              <w:jc w:val="center"/>
            </w:pPr>
            <w:r>
              <w:object w:dxaOrig="1155" w:dyaOrig="510">
                <v:shape id="_x0000_i1028" type="#_x0000_t75" style="width:57.95pt;height:25.25pt" o:ole="" fillcolor="window">
                  <v:imagedata r:id="rId13" o:title=""/>
                </v:shape>
                <o:OLEObject Type="Embed" ProgID="PBrush" ShapeID="_x0000_i1028" DrawAspect="Content" ObjectID="_1519206516" r:id="rId14"/>
              </w:object>
            </w:r>
          </w:p>
        </w:tc>
      </w:tr>
    </w:tbl>
    <w:p w:rsidR="00537258" w:rsidRDefault="00537258" w:rsidP="00537258"/>
    <w:p w:rsidR="00DD7659" w:rsidRDefault="00DD7659">
      <w:bookmarkStart w:id="0" w:name="_GoBack"/>
      <w:bookmarkEnd w:id="0"/>
    </w:p>
    <w:sectPr w:rsidR="00DD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B52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58"/>
    <w:rsid w:val="00537258"/>
    <w:rsid w:val="00DD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5C77A-BDF3-4C09-8DF6-BADA4797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2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7258"/>
    <w:pPr>
      <w:keepNext/>
      <w:jc w:val="center"/>
      <w:outlineLvl w:val="0"/>
    </w:pPr>
    <w:rPr>
      <w:b/>
      <w:bCs/>
      <w:sz w:val="24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37258"/>
    <w:rPr>
      <w:rFonts w:ascii="Times New Roman" w:eastAsia="Times New Roman" w:hAnsi="Times New Roman" w:cs="Times New Roman"/>
      <w:b/>
      <w:bCs/>
      <w:sz w:val="24"/>
      <w:szCs w:val="20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Claret</dc:creator>
  <cp:keywords/>
  <dc:description/>
  <cp:lastModifiedBy>Claret</cp:lastModifiedBy>
  <cp:revision>1</cp:revision>
  <dcterms:created xsi:type="dcterms:W3CDTF">2016-03-11T19:02:00Z</dcterms:created>
  <dcterms:modified xsi:type="dcterms:W3CDTF">2016-03-11T19:02:00Z</dcterms:modified>
</cp:coreProperties>
</file>