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4B67" w14:textId="1D80B2A7" w:rsidR="00502F7E" w:rsidRPr="005D5FDC" w:rsidRDefault="00830A7B">
      <w:pPr>
        <w:spacing w:after="220"/>
        <w:rPr>
          <w:rFonts w:ascii="Arial" w:hAnsi="Arial" w:cs="Arial"/>
        </w:rPr>
      </w:pPr>
      <w:r w:rsidRPr="00084AC8">
        <w:rPr>
          <w:rFonts w:ascii="Arial" w:hAnsi="Arial" w:cs="Arial"/>
        </w:rPr>
        <w:t>This section explor</w:t>
      </w:r>
      <w:r w:rsidRPr="005D5FDC">
        <w:rPr>
          <w:rFonts w:ascii="Arial" w:hAnsi="Arial" w:cs="Arial"/>
        </w:rPr>
        <w:t>es whether aviation incidents involving one aircraft manufacturer—either Boeing or Airbus—affect the stock performance of the other. The analysis is based on a standard event study framework</w:t>
      </w:r>
      <w:r w:rsidR="00000000" w:rsidRPr="005D5FDC">
        <w:rPr>
          <w:rFonts w:ascii="Arial" w:hAnsi="Arial" w:cs="Arial"/>
        </w:rPr>
        <w:t>, as referenced in Campbell et al. (1997). Event study methodology offers several advantages over directly using time series data, as it isolates the impact of specific events by controlling for market-wide movements and other factors.</w:t>
      </w:r>
    </w:p>
    <w:p w14:paraId="34683D5E" w14:textId="1E0715EB" w:rsidR="00444492" w:rsidRDefault="00000000">
      <w:pPr>
        <w:spacing w:after="220"/>
        <w:rPr>
          <w:rFonts w:ascii="Arial" w:hAnsi="Arial" w:cs="Arial"/>
        </w:rPr>
      </w:pPr>
      <w:r w:rsidRPr="00F27361">
        <w:rPr>
          <w:rFonts w:ascii="Arial" w:hAnsi="Arial" w:cs="Arial"/>
        </w:rPr>
        <w:t xml:space="preserve">The event study framework divides the time surrounding each event into an estimation window and an event window, to investigate the magnitude of the impact. Following </w:t>
      </w:r>
      <w:proofErr w:type="spellStart"/>
      <w:r w:rsidRPr="00F27361">
        <w:rPr>
          <w:rFonts w:ascii="Arial" w:hAnsi="Arial" w:cs="Arial"/>
        </w:rPr>
        <w:t>MacKinlay</w:t>
      </w:r>
      <w:proofErr w:type="spellEnd"/>
      <w:r w:rsidRPr="00F27361">
        <w:rPr>
          <w:rFonts w:ascii="Arial" w:hAnsi="Arial" w:cs="Arial"/>
        </w:rPr>
        <w:t xml:space="preserve"> (1997), we select a 60-day [-</w:t>
      </w:r>
      <w:proofErr w:type="gramStart"/>
      <w:r w:rsidRPr="00F27361">
        <w:rPr>
          <w:rFonts w:ascii="Arial" w:hAnsi="Arial" w:cs="Arial"/>
        </w:rPr>
        <w:t>60,-</w:t>
      </w:r>
      <w:proofErr w:type="gramEnd"/>
      <w:r w:rsidRPr="00F27361">
        <w:rPr>
          <w:rFonts w:ascii="Arial" w:hAnsi="Arial" w:cs="Arial"/>
        </w:rPr>
        <w:t>1] estimation window and a 12-day [-</w:t>
      </w:r>
      <w:proofErr w:type="gramStart"/>
      <w:r w:rsidRPr="00F27361">
        <w:rPr>
          <w:rFonts w:ascii="Arial" w:hAnsi="Arial" w:cs="Arial"/>
        </w:rPr>
        <w:t>1,+</w:t>
      </w:r>
      <w:proofErr w:type="gramEnd"/>
      <w:r w:rsidRPr="00F27361">
        <w:rPr>
          <w:rFonts w:ascii="Arial" w:hAnsi="Arial" w:cs="Arial"/>
        </w:rPr>
        <w:t xml:space="preserve">10] event window, based on the recommendation of D. </w:t>
      </w:r>
      <w:proofErr w:type="spellStart"/>
      <w:r w:rsidRPr="00F27361">
        <w:rPr>
          <w:rFonts w:ascii="Arial" w:hAnsi="Arial" w:cs="Arial"/>
        </w:rPr>
        <w:t>Krivin</w:t>
      </w:r>
      <w:proofErr w:type="spellEnd"/>
      <w:r w:rsidRPr="00F27361">
        <w:rPr>
          <w:rFonts w:ascii="Arial" w:hAnsi="Arial" w:cs="Arial"/>
        </w:rPr>
        <w:t xml:space="preserve"> et al. (2003). Considering time zone differences and data alignment issues, the event date is set as the trading day prior to the actual calendar date of the event. If the event occurs on a non-trading day, day 0 of the event window is treated as the next available trading day, and the last trading day before the event is considered day -1.</w:t>
      </w:r>
    </w:p>
    <w:p w14:paraId="458B021F" w14:textId="77777777" w:rsidR="00444492" w:rsidRDefault="00000000">
      <w:pPr>
        <w:spacing w:after="220"/>
        <w:rPr>
          <w:rFonts w:ascii="Arial" w:hAnsi="Arial" w:cs="Arial"/>
          <w:lang w:eastAsia="zh-CN"/>
        </w:rPr>
      </w:pPr>
      <w:r w:rsidRPr="00F27361">
        <w:rPr>
          <w:rFonts w:ascii="Arial" w:hAnsi="Arial" w:cs="Arial"/>
        </w:rPr>
        <w:t xml:space="preserve">For the statistical model, we use the Market Model as suggested by </w:t>
      </w:r>
      <w:proofErr w:type="spellStart"/>
      <w:r w:rsidRPr="00F27361">
        <w:rPr>
          <w:rFonts w:ascii="Arial" w:hAnsi="Arial" w:cs="Arial"/>
        </w:rPr>
        <w:t>MacKinlay</w:t>
      </w:r>
      <w:proofErr w:type="spellEnd"/>
      <w:r w:rsidRPr="00F27361">
        <w:rPr>
          <w:rFonts w:ascii="Arial" w:hAnsi="Arial" w:cs="Arial"/>
        </w:rPr>
        <w:t xml:space="preserve"> (1997). The market model establishes normal expected returns by accounting for overall market movements, thereby isolating the abnormal returns directly attributable to the event. Under the assumptions of a stable relationship between market and stock returns, the model allows us to estimate normal returns using OLS.</w:t>
      </w:r>
    </w:p>
    <w:p w14:paraId="4F05A7CD" w14:textId="6524883A" w:rsidR="00502F7E" w:rsidRPr="00F27361" w:rsidRDefault="00F27361">
      <w:pPr>
        <w:spacing w:after="220"/>
        <w:rPr>
          <w:rFonts w:ascii="Arial" w:hAnsi="Arial" w:cs="Arial"/>
          <w:lang w:eastAsia="zh-CN"/>
        </w:rPr>
      </w:pPr>
      <w:r>
        <w:rPr>
          <w:rFonts w:ascii="Arial" w:hAnsi="Arial" w:cs="Arial" w:hint="eastAsia"/>
          <w:lang w:eastAsia="zh-CN"/>
        </w:rPr>
        <w:t xml:space="preserve">Below are our </w:t>
      </w:r>
      <w:r>
        <w:rPr>
          <w:rFonts w:ascii="Arial" w:hAnsi="Arial" w:cs="Arial"/>
          <w:lang w:eastAsia="zh-CN"/>
        </w:rPr>
        <w:t>computational</w:t>
      </w:r>
      <w:r>
        <w:rPr>
          <w:rFonts w:ascii="Arial" w:hAnsi="Arial" w:cs="Arial" w:hint="eastAsia"/>
          <w:lang w:eastAsia="zh-CN"/>
        </w:rPr>
        <w:t xml:space="preserve"> </w:t>
      </w:r>
      <w:r>
        <w:rPr>
          <w:rFonts w:ascii="Arial" w:hAnsi="Arial" w:cs="Arial"/>
          <w:lang w:eastAsia="zh-CN"/>
        </w:rPr>
        <w:t>frameworks</w:t>
      </w:r>
      <w:r>
        <w:rPr>
          <w:rFonts w:ascii="Arial" w:hAnsi="Arial" w:cs="Arial" w:hint="eastAsia"/>
          <w:lang w:eastAsia="zh-CN"/>
        </w:rPr>
        <w:t xml:space="preserve">. </w:t>
      </w:r>
      <w:r w:rsidR="00000000" w:rsidRPr="00F27361">
        <w:rPr>
          <w:rFonts w:ascii="Arial" w:hAnsi="Arial" w:cs="Arial"/>
        </w:rPr>
        <w:t xml:space="preserve">First, we compute the daily returns for the market index and that of the two companys </w:t>
      </w:r>
      <w:r w:rsidRPr="00F27361">
        <w:rPr>
          <w:rFonts w:ascii="Arial" w:hAnsi="Arial" w:cs="Arial"/>
        </w:rPr>
        <w:t>separately</w:t>
      </w:r>
      <w:r w:rsidR="00000000" w:rsidRPr="00F27361">
        <w:rPr>
          <w:rFonts w:ascii="Arial" w:hAnsi="Arial" w:cs="Arial"/>
        </w:rPr>
        <w:t xml:space="preserve">. The daily returns </w:t>
      </w:r>
      <w:r w:rsidRPr="00F27361">
        <w:rPr>
          <w:rFonts w:ascii="Arial" w:hAnsi="Arial" w:cs="Arial"/>
        </w:rPr>
        <w:t>are</w:t>
      </w:r>
      <w:r w:rsidR="00000000" w:rsidRPr="00F27361">
        <w:rPr>
          <w:rFonts w:ascii="Arial" w:hAnsi="Arial" w:cs="Arial"/>
        </w:rPr>
        <w:t xml:space="preserve"> given by</w:t>
      </w:r>
    </w:p>
    <w:p w14:paraId="27034734" w14:textId="77777777" w:rsidR="00502F7E" w:rsidRPr="00F27361" w:rsidRDefault="00000000">
      <w:pPr>
        <w:spacing w:after="220"/>
        <w:rPr>
          <w:rFonts w:ascii="Arial" w:hAnsi="Arial" w:cs="Arial"/>
        </w:rPr>
      </w:pPr>
      <m:oMathPara>
        <m:oMath>
          <m:sSub>
            <m:sSubPr>
              <m:ctrlPr>
                <w:rPr>
                  <w:rFonts w:ascii="Cambria Math" w:hAnsi="Cambria Math" w:cs="Arial"/>
                </w:rPr>
              </m:ctrlPr>
            </m:sSubPr>
            <m:e>
              <m:r>
                <w:rPr>
                  <w:rFonts w:ascii="Cambria Math" w:hAnsi="Cambria Math" w:cs="Arial"/>
                </w:rPr>
                <m:t>R</m:t>
              </m:r>
            </m:e>
            <m:sub>
              <m:r>
                <w:rPr>
                  <w:rFonts w:ascii="Cambria Math" w:hAnsi="Cambria Math" w:cs="Arial"/>
                </w:rPr>
                <m:t>it</m:t>
              </m:r>
            </m:sub>
          </m:sSub>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P</m:t>
                  </m:r>
                </m:e>
                <m:sub>
                  <m:r>
                    <w:rPr>
                      <w:rFonts w:ascii="Cambria Math" w:hAnsi="Cambria Math" w:cs="Arial"/>
                    </w:rPr>
                    <m:t>it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i</m:t>
                  </m:r>
                  <m:r>
                    <m:rPr>
                      <m:sty m:val="p"/>
                    </m:rPr>
                    <w:rPr>
                      <w:rFonts w:ascii="Cambria Math" w:hAnsi="Cambria Math" w:cs="Arial"/>
                    </w:rPr>
                    <m:t>,</m:t>
                  </m:r>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P</m:t>
                  </m:r>
                </m:e>
                <m:sub>
                  <m:r>
                    <w:rPr>
                      <w:rFonts w:ascii="Cambria Math" w:hAnsi="Cambria Math" w:cs="Arial"/>
                    </w:rPr>
                    <m:t>i</m:t>
                  </m:r>
                  <m:r>
                    <m:rPr>
                      <m:sty m:val="p"/>
                    </m:rPr>
                    <w:rPr>
                      <w:rFonts w:ascii="Cambria Math" w:hAnsi="Cambria Math" w:cs="Arial"/>
                    </w:rPr>
                    <m:t>,</m:t>
                  </m:r>
                  <m:r>
                    <w:rPr>
                      <w:rFonts w:ascii="Cambria Math" w:hAnsi="Cambria Math" w:cs="Arial"/>
                    </w:rPr>
                    <m:t>t</m:t>
                  </m:r>
                  <m:r>
                    <m:rPr>
                      <m:sty m:val="p"/>
                    </m:rPr>
                    <w:rPr>
                      <w:rFonts w:ascii="Cambria Math" w:hAnsi="Cambria Math" w:cs="Arial"/>
                    </w:rPr>
                    <m:t>-1</m:t>
                  </m:r>
                </m:sub>
              </m:sSub>
            </m:den>
          </m:f>
        </m:oMath>
      </m:oMathPara>
    </w:p>
    <w:p w14:paraId="43CF66AA" w14:textId="14ACF2B1" w:rsidR="00502F7E" w:rsidRPr="00F27361" w:rsidRDefault="00000000">
      <w:pPr>
        <w:spacing w:after="220"/>
        <w:rPr>
          <w:rFonts w:ascii="Arial" w:hAnsi="Arial" w:cs="Arial"/>
        </w:rPr>
      </w:pPr>
      <w:r w:rsidRPr="00F27361">
        <w:rPr>
          <w:rFonts w:ascii="Arial" w:hAnsi="Arial" w:cs="Arial"/>
        </w:rPr>
        <w:t xml:space="preserve">where </w:t>
      </w:r>
      <m:oMath>
        <m:r>
          <w:rPr>
            <w:rFonts w:ascii="Cambria Math" w:hAnsi="Cambria Math" w:cs="Arial"/>
          </w:rPr>
          <m:t>i</m:t>
        </m:r>
      </m:oMath>
      <w:r w:rsidRPr="00F27361">
        <w:rPr>
          <w:rFonts w:ascii="Arial" w:hAnsi="Arial" w:cs="Arial"/>
        </w:rPr>
        <w:t xml:space="preserve"> represents different </w:t>
      </w:r>
      <w:r w:rsidR="00F27361">
        <w:rPr>
          <w:rFonts w:ascii="Arial" w:hAnsi="Arial" w:cs="Arial" w:hint="eastAsia"/>
          <w:lang w:eastAsia="zh-CN"/>
        </w:rPr>
        <w:t>cases</w:t>
      </w:r>
      <w:r w:rsidRPr="00F27361">
        <w:rPr>
          <w:rFonts w:ascii="Arial" w:hAnsi="Arial" w:cs="Arial"/>
        </w:rPr>
        <w:t xml:space="preserve"> and </w:t>
      </w:r>
      <m:oMath>
        <m:sSub>
          <m:sSubPr>
            <m:ctrlPr>
              <w:rPr>
                <w:rFonts w:ascii="Cambria Math" w:hAnsi="Cambria Math" w:cs="Arial"/>
              </w:rPr>
            </m:ctrlPr>
          </m:sSubPr>
          <m:e>
            <m:r>
              <w:rPr>
                <w:rFonts w:ascii="Cambria Math" w:hAnsi="Cambria Math" w:cs="Arial"/>
              </w:rPr>
              <m:t>P</m:t>
            </m:r>
          </m:e>
          <m:sub>
            <m:r>
              <w:rPr>
                <w:rFonts w:ascii="Cambria Math" w:hAnsi="Cambria Math" w:cs="Arial"/>
              </w:rPr>
              <m:t>it</m:t>
            </m:r>
          </m:sub>
        </m:sSub>
      </m:oMath>
      <w:r w:rsidRPr="00F27361">
        <w:rPr>
          <w:rFonts w:ascii="Arial" w:hAnsi="Arial" w:cs="Arial"/>
        </w:rPr>
        <w:t xml:space="preserve"> is the </w:t>
      </w:r>
      <w:r w:rsidR="00F27361">
        <w:rPr>
          <w:rFonts w:ascii="Arial" w:hAnsi="Arial" w:cs="Arial" w:hint="eastAsia"/>
          <w:lang w:eastAsia="zh-CN"/>
        </w:rPr>
        <w:t>i</w:t>
      </w:r>
      <w:r w:rsidRPr="00F27361">
        <w:rPr>
          <w:rFonts w:ascii="Arial" w:hAnsi="Arial" w:cs="Arial"/>
        </w:rPr>
        <w:t>ndex</w:t>
      </w:r>
      <w:r w:rsidR="00F27361">
        <w:rPr>
          <w:rFonts w:ascii="Arial" w:hAnsi="Arial" w:cs="Arial" w:hint="eastAsia"/>
          <w:lang w:eastAsia="zh-CN"/>
        </w:rPr>
        <w:t xml:space="preserve"> l</w:t>
      </w:r>
      <w:r w:rsidRPr="00F27361">
        <w:rPr>
          <w:rFonts w:ascii="Arial" w:hAnsi="Arial" w:cs="Arial"/>
        </w:rPr>
        <w:t xml:space="preserve">evel at time </w:t>
      </w:r>
      <m:oMath>
        <m:r>
          <w:rPr>
            <w:rFonts w:ascii="Cambria Math" w:hAnsi="Cambria Math" w:cs="Arial"/>
          </w:rPr>
          <m:t>t</m:t>
        </m:r>
      </m:oMath>
      <w:r w:rsidRPr="00F27361">
        <w:rPr>
          <w:rFonts w:ascii="Arial" w:hAnsi="Arial" w:cs="Arial"/>
        </w:rPr>
        <w:t>.</w:t>
      </w:r>
    </w:p>
    <w:p w14:paraId="1D6D48EE" w14:textId="01027CBE" w:rsidR="00502F7E" w:rsidRPr="00F27361" w:rsidRDefault="00000000">
      <w:pPr>
        <w:spacing w:after="220"/>
        <w:rPr>
          <w:rFonts w:ascii="Arial" w:hAnsi="Arial" w:cs="Arial" w:hint="eastAsia"/>
          <w:lang w:eastAsia="zh-CN"/>
        </w:rPr>
      </w:pPr>
      <w:r w:rsidRPr="00F27361">
        <w:rPr>
          <w:rFonts w:ascii="Arial" w:hAnsi="Arial" w:cs="Arial"/>
        </w:rPr>
        <w:t>By the Market Model, the return during the estimation window is given by</w:t>
      </w:r>
    </w:p>
    <w:p w14:paraId="20B7733D" w14:textId="38CC9C64" w:rsidR="00F27361" w:rsidRPr="00F27361" w:rsidRDefault="00F27361">
      <w:pPr>
        <w:spacing w:after="220"/>
        <w:rPr>
          <w:rFonts w:ascii="Arial" w:hAnsi="Arial" w:cs="Arial" w:hint="eastAsia"/>
          <w:lang w:eastAsia="zh-CN"/>
        </w:rPr>
      </w:pPr>
      <m:oMathPara>
        <m:oMathParaPr>
          <m:jc m:val="center"/>
        </m:oMathParaPr>
        <m:oMath>
          <m:sSub>
            <m:sSubPr>
              <m:ctrlPr>
                <w:rPr>
                  <w:rFonts w:ascii="Cambria Math" w:hAnsi="Cambria Math" w:cs="Arial"/>
                </w:rPr>
              </m:ctrlPr>
            </m:sSubPr>
            <m:e>
              <m:r>
                <w:rPr>
                  <w:rFonts w:ascii="Cambria Math" w:hAnsi="Cambria Math" w:cs="Arial"/>
                </w:rPr>
                <m:t>R</m:t>
              </m:r>
            </m:e>
            <m:sub>
              <m:r>
                <w:rPr>
                  <w:rFonts w:ascii="Cambria Math" w:hAnsi="Cambria Math" w:cs="Arial"/>
                </w:rPr>
                <m:t>it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sSub>
            <m:sSubPr>
              <m:ctrlPr>
                <w:rPr>
                  <w:rFonts w:ascii="Cambria Math" w:hAnsi="Cambria Math" w:cs="Arial"/>
                </w:rPr>
              </m:ctrlPr>
            </m:sSubPr>
            <m:e>
              <m:r>
                <w:rPr>
                  <w:rFonts w:ascii="Cambria Math" w:hAnsi="Cambria Math" w:cs="Arial"/>
                </w:rPr>
                <m:t>R</m:t>
              </m:r>
            </m:e>
            <m:sub>
              <m:r>
                <w:rPr>
                  <w:rFonts w:ascii="Cambria Math" w:hAnsi="Cambria Math" w:cs="Arial"/>
                </w:rPr>
                <m:t>mt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ε</m:t>
              </m:r>
            </m:e>
            <m:sub>
              <m:r>
                <w:rPr>
                  <w:rFonts w:ascii="Cambria Math" w:hAnsi="Cambria Math" w:cs="Arial"/>
                </w:rPr>
                <m:t>it</m:t>
              </m:r>
            </m:sub>
          </m:sSub>
          <m:r>
            <m:rPr>
              <m:sty m:val="p"/>
            </m:rPr>
            <w:rPr>
              <w:rFonts w:ascii="Cambria Math" w:hAnsi="Cambria Math" w:cs="Arial"/>
            </w:rPr>
            <m:t>,</m:t>
          </m:r>
        </m:oMath>
      </m:oMathPara>
    </w:p>
    <w:p w14:paraId="6D8A73D1" w14:textId="5DF0F8EB" w:rsidR="00F27361" w:rsidRDefault="00F27361">
      <w:pPr>
        <w:spacing w:after="220"/>
        <w:rPr>
          <w:rFonts w:ascii="Arial" w:hAnsi="Arial" w:cs="Arial"/>
        </w:rPr>
      </w:pPr>
      <m:oMathPara>
        <m:oMath>
          <m:r>
            <w:rPr>
              <w:rFonts w:ascii="Cambria Math" w:hAnsi="Cambria Math" w:cs="Arial"/>
            </w:rPr>
            <m:t>E</m:t>
          </m:r>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ε</m:t>
                  </m:r>
                </m:e>
                <m:sub>
                  <m:r>
                    <w:rPr>
                      <w:rFonts w:ascii="Cambria Math" w:hAnsi="Cambria Math" w:cs="Arial"/>
                    </w:rPr>
                    <m:t>it</m:t>
                  </m:r>
                </m:sub>
              </m:sSub>
            </m:e>
          </m:d>
          <m:r>
            <m:rPr>
              <m:sty m:val="p"/>
            </m:rPr>
            <w:rPr>
              <w:rFonts w:ascii="Cambria Math" w:hAnsi="Cambria Math" w:cs="Arial"/>
            </w:rPr>
            <m:t>=0,</m:t>
          </m:r>
          <m:r>
            <m:rPr>
              <m:sty m:val="p"/>
            </m:rPr>
            <w:rPr>
              <w:rFonts w:ascii="Cambria Math" w:hAnsi="Cambria Math" w:cs="Arial"/>
            </w:rPr>
            <m:t xml:space="preserve">  </m:t>
          </m:r>
          <m:r>
            <m:rPr>
              <m:sty m:val="p"/>
            </m:rPr>
            <w:rPr>
              <w:rFonts w:ascii="Cambria Math" w:hAnsi="Cambria Math" w:cs="Arial"/>
            </w:rPr>
            <m:t>Var</m:t>
          </m:r>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ε</m:t>
                  </m:r>
                </m:e>
                <m:sub>
                  <m:r>
                    <w:rPr>
                      <w:rFonts w:ascii="Cambria Math" w:hAnsi="Cambria Math" w:cs="Arial"/>
                    </w:rPr>
                    <m:t>it</m:t>
                  </m:r>
                </m:sub>
              </m:sSub>
            </m:e>
          </m:d>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σ</m:t>
              </m:r>
            </m:e>
            <m:sub>
              <m:sSub>
                <m:sSubPr>
                  <m:ctrlPr>
                    <w:rPr>
                      <w:rFonts w:ascii="Cambria Math" w:hAnsi="Cambria Math" w:cs="Arial"/>
                    </w:rPr>
                  </m:ctrlPr>
                </m:sSubPr>
                <m:e>
                  <m:r>
                    <w:rPr>
                      <w:rFonts w:ascii="Cambria Math" w:hAnsi="Cambria Math" w:cs="Arial"/>
                    </w:rPr>
                    <m:t>ε</m:t>
                  </m:r>
                </m:e>
                <m:sub>
                  <m:r>
                    <w:rPr>
                      <w:rFonts w:ascii="Cambria Math" w:hAnsi="Cambria Math" w:cs="Arial"/>
                    </w:rPr>
                    <m:t>i</m:t>
                  </m:r>
                </m:sub>
              </m:sSub>
            </m:sub>
            <m:sup>
              <m:r>
                <m:rPr>
                  <m:sty m:val="p"/>
                </m:rPr>
                <w:rPr>
                  <w:rFonts w:ascii="Cambria Math" w:hAnsi="Cambria Math" w:cs="Arial"/>
                </w:rPr>
                <m:t>2</m:t>
              </m:r>
            </m:sup>
          </m:sSubSup>
        </m:oMath>
      </m:oMathPara>
    </w:p>
    <w:p w14:paraId="4386510D" w14:textId="1457914B" w:rsidR="00502F7E" w:rsidRPr="00F27361" w:rsidRDefault="00F27361" w:rsidP="00F27361">
      <w:pPr>
        <w:spacing w:after="220"/>
        <w:rPr>
          <w:rFonts w:ascii="Arial" w:hAnsi="Arial" w:cs="Arial"/>
          <w:lang w:eastAsia="zh-CN"/>
        </w:rPr>
      </w:pPr>
      <w:r>
        <w:rPr>
          <w:rFonts w:ascii="Arial" w:hAnsi="Arial" w:cs="Arial" w:hint="eastAsia"/>
          <w:lang w:eastAsia="zh-CN"/>
        </w:rPr>
        <w:t>w</w:t>
      </w:r>
      <w:r w:rsidR="00000000" w:rsidRPr="00F27361">
        <w:rPr>
          <w:rFonts w:ascii="Arial" w:hAnsi="Arial" w:cs="Arial"/>
        </w:rPr>
        <w:t>here</w:t>
      </w:r>
      <w:r>
        <w:rPr>
          <w:rFonts w:ascii="Arial" w:hAnsi="Arial" w:cs="Arial" w:hint="eastAsia"/>
          <w:lang w:eastAsia="zh-CN"/>
        </w:rPr>
        <w:t xml:space="preserve"> </w:t>
      </w:r>
      <m:oMath>
        <m:sSub>
          <m:sSubPr>
            <m:ctrlPr>
              <w:rPr>
                <w:rFonts w:ascii="Cambria Math" w:hAnsi="Cambria Math" w:cs="Arial"/>
              </w:rPr>
            </m:ctrlPr>
          </m:sSubPr>
          <m:e>
            <m:r>
              <w:rPr>
                <w:rFonts w:ascii="Cambria Math" w:hAnsi="Cambria Math" w:cs="Arial"/>
              </w:rPr>
              <m:t>R</m:t>
            </m:r>
          </m:e>
          <m:sub>
            <m:r>
              <w:rPr>
                <w:rFonts w:ascii="Cambria Math" w:hAnsi="Cambria Math" w:cs="Arial"/>
              </w:rPr>
              <m:t>it</m:t>
            </m:r>
          </m:sub>
        </m:sSub>
      </m:oMath>
      <w:r>
        <w:rPr>
          <w:rFonts w:ascii="Arial" w:hAnsi="Arial" w:cs="Arial" w:hint="eastAsia"/>
          <w:lang w:eastAsia="zh-CN"/>
        </w:rPr>
        <w:t xml:space="preserve"> stands for</w:t>
      </w:r>
      <w:r w:rsidR="00000000" w:rsidRPr="00F27361">
        <w:rPr>
          <w:rFonts w:ascii="Arial" w:hAnsi="Arial" w:cs="Arial"/>
        </w:rPr>
        <w:t xml:space="preserve"> the return of </w:t>
      </w:r>
      <w:r>
        <w:rPr>
          <w:rFonts w:ascii="Arial" w:hAnsi="Arial" w:cs="Arial" w:hint="eastAsia"/>
          <w:lang w:eastAsia="zh-CN"/>
        </w:rPr>
        <w:t xml:space="preserve">case </w:t>
      </w:r>
      <m:oMath>
        <m:r>
          <w:rPr>
            <w:rFonts w:ascii="Cambria Math" w:hAnsi="Cambria Math" w:cs="Arial"/>
          </w:rPr>
          <m:t>i</m:t>
        </m:r>
      </m:oMath>
      <w:r w:rsidRPr="00F27361">
        <w:rPr>
          <w:rFonts w:ascii="Arial" w:hAnsi="Arial" w:cs="Arial"/>
        </w:rPr>
        <w:t xml:space="preserve"> </w:t>
      </w:r>
      <w:r>
        <w:rPr>
          <w:rFonts w:ascii="Arial" w:hAnsi="Arial" w:cs="Arial" w:hint="eastAsia"/>
          <w:lang w:eastAsia="zh-CN"/>
        </w:rPr>
        <w:t>at</w:t>
      </w:r>
      <w:r w:rsidR="00000000" w:rsidRPr="00F27361">
        <w:rPr>
          <w:rFonts w:ascii="Arial" w:hAnsi="Arial" w:cs="Arial"/>
        </w:rPr>
        <w:t xml:space="preserve"> </w:t>
      </w:r>
      <w:r w:rsidRPr="00F27361">
        <w:rPr>
          <w:rFonts w:ascii="Arial" w:hAnsi="Arial" w:cs="Arial"/>
        </w:rPr>
        <w:t xml:space="preserve">time </w:t>
      </w:r>
      <m:oMath>
        <m:r>
          <w:rPr>
            <w:rFonts w:ascii="Cambria Math" w:hAnsi="Cambria Math" w:cs="Arial"/>
          </w:rPr>
          <m:t>t</m:t>
        </m:r>
      </m:oMath>
      <w:r>
        <w:rPr>
          <w:rFonts w:ascii="Arial" w:hAnsi="Arial" w:cs="Arial" w:hint="eastAsia"/>
          <w:lang w:eastAsia="zh-CN"/>
        </w:rPr>
        <w:t xml:space="preserve">, </w:t>
      </w:r>
      <m:oMath>
        <m:sSub>
          <m:sSubPr>
            <m:ctrlPr>
              <w:rPr>
                <w:rFonts w:ascii="Cambria Math" w:hAnsi="Cambria Math" w:cs="Arial"/>
              </w:rPr>
            </m:ctrlPr>
          </m:sSubPr>
          <m:e>
            <m:r>
              <w:rPr>
                <w:rFonts w:ascii="Cambria Math" w:hAnsi="Cambria Math" w:cs="Arial"/>
              </w:rPr>
              <m:t>R</m:t>
            </m:r>
          </m:e>
          <m:sub>
            <m:r>
              <w:rPr>
                <w:rFonts w:ascii="Cambria Math" w:hAnsi="Cambria Math" w:cs="Arial"/>
              </w:rPr>
              <m:t>mt</m:t>
            </m:r>
          </m:sub>
        </m:sSub>
      </m:oMath>
      <w:r w:rsidR="00000000" w:rsidRPr="00F27361">
        <w:rPr>
          <w:rFonts w:ascii="Arial" w:hAnsi="Arial" w:cs="Arial"/>
        </w:rPr>
        <w:t xml:space="preserve"> </w:t>
      </w:r>
      <w:r>
        <w:rPr>
          <w:rFonts w:ascii="Arial" w:hAnsi="Arial" w:cs="Arial" w:hint="eastAsia"/>
          <w:lang w:eastAsia="zh-CN"/>
        </w:rPr>
        <w:t>stands for</w:t>
      </w:r>
      <w:r w:rsidRPr="00F27361">
        <w:rPr>
          <w:rFonts w:ascii="Arial" w:hAnsi="Arial" w:cs="Arial"/>
        </w:rPr>
        <w:t xml:space="preserve"> </w:t>
      </w:r>
      <w:r w:rsidR="00000000" w:rsidRPr="00F27361">
        <w:rPr>
          <w:rFonts w:ascii="Arial" w:hAnsi="Arial" w:cs="Arial"/>
        </w:rPr>
        <w:t xml:space="preserve">the return of the market </w:t>
      </w:r>
      <w:r>
        <w:rPr>
          <w:rFonts w:ascii="Arial" w:hAnsi="Arial" w:cs="Arial" w:hint="eastAsia"/>
          <w:lang w:eastAsia="zh-CN"/>
        </w:rPr>
        <w:t>at</w:t>
      </w:r>
      <w:r w:rsidRPr="00F27361">
        <w:rPr>
          <w:rFonts w:ascii="Arial" w:hAnsi="Arial" w:cs="Arial"/>
        </w:rPr>
        <w:t xml:space="preserve"> time </w:t>
      </w:r>
      <m:oMath>
        <m:r>
          <w:rPr>
            <w:rFonts w:ascii="Cambria Math" w:hAnsi="Cambria Math" w:cs="Arial"/>
          </w:rPr>
          <m:t>t</m:t>
        </m:r>
        <m:sSub>
          <m:sSubPr>
            <m:ctrlPr>
              <w:rPr>
                <w:rFonts w:ascii="Cambria Math" w:hAnsi="Cambria Math" w:cs="Arial"/>
              </w:rPr>
            </m:ctrlPr>
          </m:sSubPr>
          <m:e>
            <m:r>
              <w:rPr>
                <w:rFonts w:ascii="Cambria Math" w:hAnsi="Cambria Math" w:cs="Arial"/>
              </w:rPr>
              <m:t>,</m:t>
            </m:r>
            <m:r>
              <w:rPr>
                <w:rFonts w:ascii="Cambria Math" w:hAnsi="Cambria Math" w:cs="Arial"/>
              </w:rPr>
              <m:t>α</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oMath>
      <w:r w:rsidR="00000000" w:rsidRPr="00F27361">
        <w:rPr>
          <w:rFonts w:ascii="Arial" w:hAnsi="Arial" w:cs="Arial"/>
        </w:rPr>
        <w:t xml:space="preserve"> are the estimated parameters in the linear regression model</w:t>
      </w:r>
      <w:r>
        <w:rPr>
          <w:rFonts w:ascii="Arial" w:hAnsi="Arial" w:cs="Arial" w:hint="eastAsia"/>
          <w:lang w:eastAsia="zh-CN"/>
        </w:rPr>
        <w:t xml:space="preserve">, and </w:t>
      </w:r>
      <m:oMath>
        <m:sSub>
          <m:sSubPr>
            <m:ctrlPr>
              <w:rPr>
                <w:rFonts w:ascii="Cambria Math" w:hAnsi="Cambria Math" w:cs="Arial"/>
              </w:rPr>
            </m:ctrlPr>
          </m:sSubPr>
          <m:e>
            <m:r>
              <w:rPr>
                <w:rFonts w:ascii="Cambria Math" w:hAnsi="Cambria Math" w:cs="Arial"/>
              </w:rPr>
              <m:t>ε</m:t>
            </m:r>
          </m:e>
          <m:sub>
            <m:r>
              <w:rPr>
                <w:rFonts w:ascii="Cambria Math" w:hAnsi="Cambria Math" w:cs="Arial"/>
              </w:rPr>
              <m:t>it</m:t>
            </m:r>
          </m:sub>
        </m:sSub>
      </m:oMath>
      <w:r w:rsidR="00000000" w:rsidRPr="00F27361">
        <w:rPr>
          <w:rFonts w:ascii="Arial" w:hAnsi="Arial" w:cs="Arial"/>
        </w:rPr>
        <w:t xml:space="preserve"> </w:t>
      </w:r>
      <w:r>
        <w:rPr>
          <w:rFonts w:ascii="Arial" w:hAnsi="Arial" w:cs="Arial" w:hint="eastAsia"/>
          <w:lang w:eastAsia="zh-CN"/>
        </w:rPr>
        <w:t>stands for</w:t>
      </w:r>
      <w:r w:rsidR="00000000" w:rsidRPr="00F27361">
        <w:rPr>
          <w:rFonts w:ascii="Arial" w:hAnsi="Arial" w:cs="Arial"/>
        </w:rPr>
        <w:t xml:space="preserve"> the error term.</w:t>
      </w:r>
    </w:p>
    <w:p w14:paraId="12E0337F" w14:textId="217C4D44" w:rsidR="00502F7E" w:rsidRDefault="00000000">
      <w:pPr>
        <w:spacing w:after="220"/>
        <w:rPr>
          <w:rFonts w:ascii="Arial" w:hAnsi="Arial" w:cs="Arial"/>
        </w:rPr>
      </w:pPr>
      <w:r w:rsidRPr="00F27361">
        <w:rPr>
          <w:rFonts w:ascii="Arial" w:hAnsi="Arial" w:cs="Arial"/>
        </w:rPr>
        <w:t>During the event window, the expected normal return in the case where there was no impact of the event can be estimated by</w:t>
      </w:r>
    </w:p>
    <w:p w14:paraId="48BBD3E5" w14:textId="046B089E" w:rsidR="00502F7E" w:rsidRPr="00F27361" w:rsidRDefault="00F27361" w:rsidP="00F27361">
      <w:pPr>
        <w:spacing w:after="220"/>
        <w:rPr>
          <w:rFonts w:ascii="Arial" w:hAnsi="Arial" w:cs="Arial" w:hint="eastAsia"/>
          <w:lang w:eastAsia="zh-CN"/>
        </w:rPr>
      </w:pPr>
      <m:oMathPara>
        <m:oMath>
          <m:r>
            <w:rPr>
              <w:rFonts w:ascii="Cambria Math" w:hAnsi="Cambria Math" w:cs="Arial"/>
            </w:rPr>
            <m:t>E</m:t>
          </m:r>
          <m:d>
            <m:dPr>
              <m:begChr m:val="["/>
              <m:endChr m:val="]"/>
              <m:ctrlPr>
                <w:rPr>
                  <w:rFonts w:ascii="Cambria Math" w:hAnsi="Cambria Math" w:cs="Arial"/>
                </w:rPr>
              </m:ctrlPr>
            </m:dPr>
            <m:e>
              <m:sSubSup>
                <m:sSubSupPr>
                  <m:ctrlPr>
                    <w:rPr>
                      <w:rFonts w:ascii="Cambria Math" w:hAnsi="Cambria Math" w:cs="Arial"/>
                    </w:rPr>
                  </m:ctrlPr>
                </m:sSubSupPr>
                <m:e>
                  <m:r>
                    <w:rPr>
                      <w:rFonts w:ascii="Cambria Math" w:hAnsi="Cambria Math" w:cs="Arial"/>
                    </w:rPr>
                    <m:t>R</m:t>
                  </m:r>
                </m:e>
                <m:sub>
                  <m:r>
                    <w:rPr>
                      <w:rFonts w:ascii="Cambria Math" w:hAnsi="Cambria Math" w:cs="Arial"/>
                    </w:rPr>
                    <m:t>it</m:t>
                  </m:r>
                </m:sub>
                <m:sup>
                  <m:r>
                    <m:rPr>
                      <m:sty m:val="p"/>
                    </m:rPr>
                    <w:rPr>
                      <w:rFonts w:ascii="Cambria Math" w:hAnsi="Cambria Math" w:cs="Arial"/>
                    </w:rPr>
                    <m:t>*</m:t>
                  </m:r>
                </m:sup>
              </m:sSub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it</m:t>
                  </m:r>
                </m:sub>
              </m:sSub>
            </m:e>
          </m:d>
          <m:r>
            <m:rPr>
              <m:sty m:val="p"/>
            </m:rPr>
            <w:rPr>
              <w:rFonts w:ascii="Cambria Math" w:hAnsi="Cambria Math" w:cs="Arial"/>
            </w:rPr>
            <m:t>=</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sSub>
            <m:sSubPr>
              <m:ctrlPr>
                <w:rPr>
                  <w:rFonts w:ascii="Cambria Math" w:hAnsi="Cambria Math" w:cs="Arial"/>
                </w:rPr>
              </m:ctrlPr>
            </m:sSubPr>
            <m:e>
              <m:r>
                <w:rPr>
                  <w:rFonts w:ascii="Cambria Math" w:hAnsi="Cambria Math" w:cs="Arial"/>
                </w:rPr>
                <m:t>R</m:t>
              </m:r>
            </m:e>
            <m:sub>
              <m:r>
                <w:rPr>
                  <w:rFonts w:ascii="Cambria Math" w:hAnsi="Cambria Math" w:cs="Arial"/>
                </w:rPr>
                <m:t>mt</m:t>
              </m:r>
            </m:sub>
          </m:sSub>
        </m:oMath>
      </m:oMathPara>
    </w:p>
    <w:p w14:paraId="68BCDACB" w14:textId="170E8EAD" w:rsidR="00502F7E" w:rsidRDefault="00000000">
      <w:pPr>
        <w:spacing w:after="220"/>
        <w:rPr>
          <w:rFonts w:ascii="Arial" w:hAnsi="Arial" w:cs="Arial"/>
        </w:rPr>
      </w:pPr>
      <w:r w:rsidRPr="00F27361">
        <w:rPr>
          <w:rFonts w:ascii="Arial" w:hAnsi="Arial" w:cs="Arial"/>
        </w:rPr>
        <w:t xml:space="preserve">The abnormal return of the </w:t>
      </w:r>
      <w:r w:rsidR="00F27361" w:rsidRPr="00F27361">
        <w:rPr>
          <w:rFonts w:ascii="Arial" w:hAnsi="Arial" w:cs="Arial" w:hint="eastAsia"/>
          <w:lang w:eastAsia="zh-CN"/>
        </w:rPr>
        <w:t xml:space="preserve">aircraft </w:t>
      </w:r>
      <w:r w:rsidR="00F27361" w:rsidRPr="00F27361">
        <w:rPr>
          <w:rFonts w:ascii="Arial" w:hAnsi="Arial" w:cs="Arial"/>
          <w:lang w:eastAsia="zh-CN"/>
        </w:rPr>
        <w:t xml:space="preserve">companies’ </w:t>
      </w:r>
      <w:r w:rsidRPr="00F27361">
        <w:rPr>
          <w:rFonts w:ascii="Arial" w:hAnsi="Arial" w:cs="Arial"/>
        </w:rPr>
        <w:t>stocks during the event window can be calculated as</w:t>
      </w:r>
    </w:p>
    <w:p w14:paraId="4AF45704" w14:textId="1ABB1B2F" w:rsidR="00F27361" w:rsidRPr="00F27361" w:rsidRDefault="00F27361">
      <w:pPr>
        <w:spacing w:after="220"/>
        <w:rPr>
          <w:rFonts w:ascii="Arial" w:hAnsi="Arial" w:cs="Arial"/>
        </w:rPr>
      </w:pPr>
      <m:oMathPara>
        <m:oMath>
          <m:r>
            <w:rPr>
              <w:rFonts w:ascii="Cambria Math" w:hAnsi="Cambria Math" w:cs="Arial"/>
            </w:rPr>
            <m:t>A</m:t>
          </m:r>
          <m:sSub>
            <m:sSubPr>
              <m:ctrlPr>
                <w:rPr>
                  <w:rFonts w:ascii="Cambria Math" w:hAnsi="Cambria Math" w:cs="Arial"/>
                </w:rPr>
              </m:ctrlPr>
            </m:sSubPr>
            <m:e>
              <m:r>
                <w:rPr>
                  <w:rFonts w:ascii="Cambria Math" w:hAnsi="Cambria Math" w:cs="Arial"/>
                </w:rPr>
                <m:t>R</m:t>
              </m:r>
            </m:e>
            <m:sub>
              <m:r>
                <w:rPr>
                  <w:rFonts w:ascii="Cambria Math" w:hAnsi="Cambria Math" w:cs="Arial"/>
                </w:rPr>
                <m:t>it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R</m:t>
              </m:r>
            </m:e>
            <m:sub>
              <m:r>
                <w:rPr>
                  <w:rFonts w:ascii="Cambria Math" w:hAnsi="Cambria Math" w:cs="Arial"/>
                </w:rPr>
                <m:t>it</m:t>
              </m:r>
            </m:sub>
          </m:sSub>
          <m:r>
            <m:rPr>
              <m:sty m:val="p"/>
            </m:rPr>
            <w:rPr>
              <w:rFonts w:ascii="Cambria Math" w:hAnsi="Cambria Math" w:cs="Arial"/>
            </w:rPr>
            <m:t>-</m:t>
          </m:r>
          <m:r>
            <w:rPr>
              <w:rFonts w:ascii="Cambria Math" w:hAnsi="Cambria Math" w:cs="Arial"/>
            </w:rPr>
            <m:t>E</m:t>
          </m:r>
          <m:d>
            <m:dPr>
              <m:begChr m:val="["/>
              <m:endChr m:val="]"/>
              <m:ctrlPr>
                <w:rPr>
                  <w:rFonts w:ascii="Cambria Math" w:hAnsi="Cambria Math" w:cs="Arial"/>
                </w:rPr>
              </m:ctrlPr>
            </m:dPr>
            <m:e>
              <m:sSubSup>
                <m:sSubSupPr>
                  <m:ctrlPr>
                    <w:rPr>
                      <w:rFonts w:ascii="Cambria Math" w:hAnsi="Cambria Math" w:cs="Arial"/>
                    </w:rPr>
                  </m:ctrlPr>
                </m:sSubSupPr>
                <m:e>
                  <m:r>
                    <w:rPr>
                      <w:rFonts w:ascii="Cambria Math" w:hAnsi="Cambria Math" w:cs="Arial"/>
                    </w:rPr>
                    <m:t>R</m:t>
                  </m:r>
                </m:e>
                <m:sub>
                  <m:r>
                    <w:rPr>
                      <w:rFonts w:ascii="Cambria Math" w:hAnsi="Cambria Math" w:cs="Arial"/>
                    </w:rPr>
                    <m:t>it</m:t>
                  </m:r>
                </m:sub>
                <m:sup>
                  <m:r>
                    <m:rPr>
                      <m:sty m:val="p"/>
                    </m:rPr>
                    <w:rPr>
                      <w:rFonts w:ascii="Cambria Math" w:hAnsi="Cambria Math" w:cs="Arial"/>
                    </w:rPr>
                    <m:t>*</m:t>
                  </m:r>
                </m:sup>
              </m:sSub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Ω</m:t>
                  </m:r>
                </m:e>
                <m:sub>
                  <m:r>
                    <w:rPr>
                      <w:rFonts w:ascii="Cambria Math" w:hAnsi="Cambria Math" w:cs="Arial"/>
                    </w:rPr>
                    <m:t>it</m:t>
                  </m:r>
                </m:sub>
              </m:sSub>
            </m:e>
          </m:d>
        </m:oMath>
      </m:oMathPara>
    </w:p>
    <w:p w14:paraId="5E94DA77" w14:textId="62E73420" w:rsidR="00502F7E" w:rsidRDefault="00C81EE8">
      <w:pPr>
        <w:spacing w:after="220"/>
        <w:rPr>
          <w:rFonts w:ascii="Arial" w:hAnsi="Arial" w:cs="Arial" w:hint="eastAsia"/>
          <w:lang w:eastAsia="zh-CN"/>
        </w:rPr>
      </w:pPr>
      <w:r>
        <w:rPr>
          <w:rFonts w:ascii="Arial" w:hAnsi="Arial" w:cs="Arial" w:hint="eastAsia"/>
          <w:lang w:eastAsia="zh-CN"/>
        </w:rPr>
        <w:t>T</w:t>
      </w:r>
      <w:r w:rsidR="00000000" w:rsidRPr="00F27361">
        <w:rPr>
          <w:rFonts w:ascii="Arial" w:hAnsi="Arial" w:cs="Arial"/>
        </w:rPr>
        <w:t xml:space="preserve">he CAR is the sum of the included abnormal returns </w:t>
      </w:r>
      <w:r>
        <w:rPr>
          <w:rFonts w:ascii="Arial" w:hAnsi="Arial" w:cs="Arial" w:hint="eastAsia"/>
          <w:lang w:eastAsia="zh-CN"/>
        </w:rPr>
        <w:t>during</w:t>
      </w:r>
      <w:r w:rsidR="00000000" w:rsidRPr="00F27361">
        <w:rPr>
          <w:rFonts w:ascii="Arial" w:hAnsi="Arial" w:cs="Arial"/>
        </w:rPr>
        <w:t xml:space="preserve"> the period</w:t>
      </w:r>
      <w:r>
        <w:rPr>
          <w:rFonts w:ascii="Arial" w:hAnsi="Arial" w:cs="Arial" w:hint="eastAsia"/>
          <w:lang w:eastAsia="zh-CN"/>
        </w:rPr>
        <w:t xml:space="preserve"> </w:t>
      </w:r>
      <w:r w:rsidRPr="00F27361">
        <w:rPr>
          <w:rFonts w:ascii="Arial" w:hAnsi="Arial" w:cs="Arial"/>
        </w:rPr>
        <w:t xml:space="preserve">from </w:t>
      </w:r>
      <m:oMath>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1</m:t>
            </m:r>
          </m:sub>
        </m:sSub>
      </m:oMath>
      <w:r w:rsidRPr="00F27361">
        <w:rPr>
          <w:rFonts w:ascii="Arial" w:hAnsi="Arial" w:cs="Arial"/>
        </w:rPr>
        <w:t xml:space="preserve"> to </w:t>
      </w:r>
      <m:oMath>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oMath>
    </w:p>
    <w:p w14:paraId="5C48220E" w14:textId="08A8245E" w:rsidR="00C81EE8" w:rsidRPr="00F27361" w:rsidRDefault="00C81EE8">
      <w:pPr>
        <w:spacing w:after="220"/>
        <w:rPr>
          <w:rFonts w:ascii="Arial" w:hAnsi="Arial" w:cs="Arial"/>
        </w:rPr>
      </w:pPr>
      <m:oMathPara>
        <m:oMath>
          <m:sSub>
            <m:sSubPr>
              <m:ctrlPr>
                <w:rPr>
                  <w:rFonts w:ascii="Cambria Math" w:hAnsi="Cambria Math" w:cs="Arial"/>
                </w:rPr>
              </m:ctrlPr>
            </m:sSubPr>
            <m:e>
              <m:r>
                <m:rPr>
                  <m:sty m:val="p"/>
                </m:rPr>
                <w:rPr>
                  <w:rFonts w:ascii="Cambria Math" w:hAnsi="Cambria Math" w:cs="Arial"/>
                </w:rPr>
                <m:t>CAR</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r>
            <m:rPr>
              <m:sty m:val="p"/>
            </m:rPr>
            <w:rPr>
              <w:rFonts w:ascii="Cambria Math" w:hAnsi="Cambria Math" w:cs="Arial"/>
            </w:rPr>
            <m:t>)=</m:t>
          </m:r>
          <m:nary>
            <m:naryPr>
              <m:chr m:val="∑"/>
              <m:limLoc m:val="undOvr"/>
              <m:grow m:val="1"/>
              <m:ctrlPr>
                <w:rPr>
                  <w:rFonts w:ascii="Cambria Math" w:hAnsi="Cambria Math" w:cs="Arial"/>
                </w:rPr>
              </m:ctrlPr>
            </m:naryPr>
            <m:sub>
              <m:r>
                <w:rPr>
                  <w:rFonts w:ascii="Cambria Math" w:hAnsi="Cambria Math" w:cs="Arial"/>
                </w:rPr>
                <m:t>t</m:t>
              </m:r>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1</m:t>
                  </m:r>
                </m:sub>
              </m:sSub>
              <m:r>
                <m:rPr>
                  <m:sty m:val="p"/>
                </m:rPr>
                <w:rPr>
                  <w:rFonts w:ascii="Cambria Math" w:hAnsi="Cambria Math" w:cs="Arial"/>
                </w:rPr>
                <m:t>+1</m:t>
              </m:r>
            </m:sub>
            <m:sup>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sup>
            <m:e>
              <m:r>
                <m:rPr>
                  <m:sty m:val="p"/>
                </m:rPr>
                <w:rPr>
                  <w:rFonts w:ascii="Cambria Math" w:hAnsi="Cambria Math" w:cs="Arial"/>
                </w:rPr>
                <m:t> </m:t>
              </m:r>
            </m:e>
          </m:nary>
          <m:r>
            <m:rPr>
              <m:sty m:val="p"/>
            </m:rPr>
            <w:rPr>
              <w:rFonts w:ascii="Cambria Math" w:hAnsi="Cambria Math" w:cs="Arial"/>
            </w:rPr>
            <m:t> </m:t>
          </m:r>
          <m:r>
            <w:rPr>
              <w:rFonts w:ascii="Cambria Math" w:hAnsi="Cambria Math" w:cs="Arial"/>
            </w:rPr>
            <m:t>A</m:t>
          </m:r>
          <m:sSub>
            <m:sSubPr>
              <m:ctrlPr>
                <w:rPr>
                  <w:rFonts w:ascii="Cambria Math" w:hAnsi="Cambria Math" w:cs="Arial"/>
                </w:rPr>
              </m:ctrlPr>
            </m:sSubPr>
            <m:e>
              <m:r>
                <w:rPr>
                  <w:rFonts w:ascii="Cambria Math" w:hAnsi="Cambria Math" w:cs="Arial"/>
                </w:rPr>
                <m:t>R</m:t>
              </m:r>
            </m:e>
            <m:sub>
              <m:r>
                <w:rPr>
                  <w:rFonts w:ascii="Cambria Math" w:hAnsi="Cambria Math" w:cs="Arial"/>
                </w:rPr>
                <m:t>i</m:t>
              </m:r>
              <m:r>
                <m:rPr>
                  <m:sty m:val="p"/>
                </m:rPr>
                <w:rPr>
                  <w:rFonts w:ascii="Cambria Math" w:hAnsi="Cambria Math" w:cs="Arial"/>
                </w:rPr>
                <m:t>,</m:t>
              </m:r>
              <m:r>
                <w:rPr>
                  <w:rFonts w:ascii="Cambria Math" w:hAnsi="Cambria Math" w:cs="Arial"/>
                </w:rPr>
                <m:t>t</m:t>
              </m:r>
            </m:sub>
          </m:sSub>
        </m:oMath>
      </m:oMathPara>
    </w:p>
    <w:p w14:paraId="272C7E80" w14:textId="77777777" w:rsidR="00830A7B" w:rsidRDefault="00000000">
      <w:pPr>
        <w:spacing w:after="220"/>
        <w:rPr>
          <w:rFonts w:ascii="Arial" w:hAnsi="Arial" w:cs="Arial"/>
        </w:rPr>
      </w:pPr>
      <w:r w:rsidRPr="00F27361">
        <w:rPr>
          <w:rFonts w:ascii="Arial" w:hAnsi="Arial" w:cs="Arial"/>
        </w:rPr>
        <w:t xml:space="preserve">To test the significance of CAR for single stock, </w:t>
      </w:r>
      <w:r w:rsidR="00C81EE8">
        <w:rPr>
          <w:rFonts w:ascii="Arial" w:hAnsi="Arial" w:cs="Arial" w:hint="eastAsia"/>
          <w:lang w:eastAsia="zh-CN"/>
        </w:rPr>
        <w:t>t</w:t>
      </w:r>
      <w:r w:rsidRPr="00F27361">
        <w:rPr>
          <w:rFonts w:ascii="Arial" w:hAnsi="Arial" w:cs="Arial"/>
        </w:rPr>
        <w:t>he hypotheses are</w:t>
      </w:r>
    </w:p>
    <w:p w14:paraId="6B5BAE6A" w14:textId="3AEA1DB8" w:rsidR="00084AC8" w:rsidRDefault="00084AC8">
      <w:pPr>
        <w:spacing w:after="220"/>
        <w:rPr>
          <w:rFonts w:ascii="Arial" w:hAnsi="Arial" w:cs="Arial"/>
          <w:lang w:eastAsia="zh-CN"/>
        </w:rPr>
      </w:pPr>
      <m:oMathPara>
        <m:oMath>
          <m:sSub>
            <m:sSubPr>
              <m:ctrlPr>
                <w:rPr>
                  <w:rFonts w:ascii="Cambria Math" w:hAnsi="Cambria Math" w:cs="Arial"/>
                </w:rPr>
              </m:ctrlPr>
            </m:sSubPr>
            <m:e>
              <m:r>
                <w:rPr>
                  <w:rFonts w:ascii="Cambria Math" w:hAnsi="Cambria Math" w:cs="Arial"/>
                </w:rPr>
                <m:t>H</m:t>
              </m:r>
            </m:e>
            <m:sub>
              <m:r>
                <m:rPr>
                  <m:sty m:val="p"/>
                </m:rPr>
                <w:rPr>
                  <w:rFonts w:ascii="Cambria Math" w:hAnsi="Cambria Math" w:cs="Arial"/>
                </w:rPr>
                <m:t>0</m:t>
              </m:r>
            </m:sub>
          </m:sSub>
          <m:r>
            <m:rPr>
              <m:sty m:val="p"/>
            </m:rPr>
            <w:rPr>
              <w:rFonts w:ascii="Cambria Math" w:hAnsi="Cambria Math" w:cs="Arial"/>
            </w:rPr>
            <m:t>:</m:t>
          </m:r>
          <m:r>
            <w:rPr>
              <w:rFonts w:ascii="Cambria Math" w:hAnsi="Cambria Math" w:cs="Arial"/>
            </w:rPr>
            <m:t>CA</m:t>
          </m:r>
          <m:sSub>
            <m:sSubPr>
              <m:ctrlPr>
                <w:rPr>
                  <w:rFonts w:ascii="Cambria Math" w:hAnsi="Cambria Math" w:cs="Arial"/>
                </w:rPr>
              </m:ctrlPr>
            </m:sSubPr>
            <m:e>
              <m:r>
                <w:rPr>
                  <w:rFonts w:ascii="Cambria Math" w:hAnsi="Cambria Math" w:cs="Arial"/>
                </w:rPr>
                <m:t>R</m:t>
              </m:r>
            </m:e>
            <m:sub>
              <m:r>
                <w:rPr>
                  <w:rFonts w:ascii="Cambria Math" w:hAnsi="Cambria Math" w:cs="Arial"/>
                </w:rPr>
                <m:t>i</m:t>
              </m:r>
            </m:sub>
          </m:sSub>
          <m:r>
            <m:rPr>
              <m:sty m:val="p"/>
            </m:rPr>
            <w:rPr>
              <w:rFonts w:ascii="Cambria Math" w:hAnsi="Cambria Math" w:cs="Arial"/>
            </w:rPr>
            <m:t>=0</m:t>
          </m:r>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H</m:t>
              </m:r>
            </m:e>
            <m:sub>
              <m:r>
                <m:rPr>
                  <m:sty m:val="p"/>
                </m:rPr>
                <w:rPr>
                  <w:rFonts w:ascii="Cambria Math" w:hAnsi="Cambria Math" w:cs="Arial"/>
                </w:rPr>
                <m:t>1</m:t>
              </m:r>
            </m:sub>
          </m:sSub>
          <m:r>
            <m:rPr>
              <m:sty m:val="p"/>
            </m:rPr>
            <w:rPr>
              <w:rFonts w:ascii="Cambria Math" w:hAnsi="Cambria Math" w:cs="Arial"/>
            </w:rPr>
            <m:t>:</m:t>
          </m:r>
          <m:r>
            <w:rPr>
              <w:rFonts w:ascii="Cambria Math" w:hAnsi="Cambria Math" w:cs="Arial"/>
            </w:rPr>
            <m:t>CA</m:t>
          </m:r>
          <m:sSub>
            <m:sSubPr>
              <m:ctrlPr>
                <w:rPr>
                  <w:rFonts w:ascii="Cambria Math" w:hAnsi="Cambria Math" w:cs="Arial"/>
                </w:rPr>
              </m:ctrlPr>
            </m:sSubPr>
            <m:e>
              <m:r>
                <w:rPr>
                  <w:rFonts w:ascii="Cambria Math" w:hAnsi="Cambria Math" w:cs="Arial"/>
                </w:rPr>
                <m:t>R</m:t>
              </m:r>
            </m:e>
            <m:sub>
              <m:r>
                <w:rPr>
                  <w:rFonts w:ascii="Cambria Math" w:hAnsi="Cambria Math" w:cs="Arial"/>
                </w:rPr>
                <m:t>i</m:t>
              </m:r>
            </m:sub>
          </m:sSub>
          <m:r>
            <m:rPr>
              <m:sty m:val="p"/>
            </m:rPr>
            <w:rPr>
              <w:rFonts w:ascii="Cambria Math" w:hAnsi="Cambria Math" w:cs="Arial"/>
            </w:rPr>
            <m:t>≠0</m:t>
          </m:r>
        </m:oMath>
      </m:oMathPara>
    </w:p>
    <w:p w14:paraId="26D21635" w14:textId="210FA8E0" w:rsidR="00502F7E" w:rsidRDefault="00C81EE8">
      <w:pPr>
        <w:spacing w:after="220"/>
        <w:rPr>
          <w:rFonts w:ascii="Arial" w:hAnsi="Arial" w:cs="Arial"/>
        </w:rPr>
      </w:pPr>
      <w:r>
        <w:rPr>
          <w:rFonts w:ascii="Arial" w:hAnsi="Arial" w:cs="Arial" w:hint="eastAsia"/>
          <w:lang w:eastAsia="zh-CN"/>
        </w:rPr>
        <w:t>T</w:t>
      </w:r>
      <w:r w:rsidR="00000000" w:rsidRPr="00F27361">
        <w:rPr>
          <w:rFonts w:ascii="Arial" w:hAnsi="Arial" w:cs="Arial"/>
        </w:rPr>
        <w:t xml:space="preserve">he </w:t>
      </w:r>
      <m:oMath>
        <m:r>
          <w:rPr>
            <w:rFonts w:ascii="Cambria Math" w:hAnsi="Cambria Math" w:cs="Arial"/>
          </w:rPr>
          <m:t>t</m:t>
        </m:r>
      </m:oMath>
      <w:r w:rsidR="00000000" w:rsidRPr="00F27361">
        <w:rPr>
          <w:rFonts w:ascii="Arial" w:hAnsi="Arial" w:cs="Arial"/>
        </w:rPr>
        <w:t xml:space="preserve"> statistic under null hypothesis </w:t>
      </w:r>
      <w:proofErr w:type="gramStart"/>
      <w:r w:rsidR="00000000" w:rsidRPr="00F27361">
        <w:rPr>
          <w:rFonts w:ascii="Arial" w:hAnsi="Arial" w:cs="Arial"/>
        </w:rPr>
        <w:t>is</w:t>
      </w:r>
      <w:proofErr w:type="gramEnd"/>
    </w:p>
    <w:p w14:paraId="27272120" w14:textId="77777777" w:rsidR="00830A7B" w:rsidRDefault="00C81EE8" w:rsidP="00830A7B">
      <w:pPr>
        <w:spacing w:after="220"/>
        <w:rPr>
          <w:rFonts w:ascii="Arial" w:hAnsi="Arial" w:cs="Arial"/>
          <w:lang w:eastAsia="zh-CN"/>
        </w:rPr>
      </w:pPr>
      <m:oMathPara>
        <m:oMath>
          <m:r>
            <w:rPr>
              <w:rFonts w:ascii="Cambria Math" w:hAnsi="Cambria Math" w:cs="Arial"/>
            </w:rPr>
            <m:t>t</m:t>
          </m:r>
          <m:r>
            <m:rPr>
              <m:sty m:val="p"/>
            </m:rPr>
            <w:rPr>
              <w:rFonts w:ascii="Cambria Math" w:hAnsi="Cambria Math" w:cs="Arial"/>
            </w:rPr>
            <m:t>=</m:t>
          </m:r>
          <m:f>
            <m:fPr>
              <m:ctrlPr>
                <w:rPr>
                  <w:rFonts w:ascii="Cambria Math" w:hAnsi="Cambria Math" w:cs="Arial"/>
                </w:rPr>
              </m:ctrlPr>
            </m:fPr>
            <m:num>
              <m:r>
                <w:rPr>
                  <w:rFonts w:ascii="Cambria Math" w:hAnsi="Cambria Math" w:cs="Arial"/>
                </w:rPr>
                <m:t>CA</m:t>
              </m:r>
              <m:sSub>
                <m:sSubPr>
                  <m:ctrlPr>
                    <w:rPr>
                      <w:rFonts w:ascii="Cambria Math" w:hAnsi="Cambria Math" w:cs="Arial"/>
                    </w:rPr>
                  </m:ctrlPr>
                </m:sSubPr>
                <m:e>
                  <m:r>
                    <w:rPr>
                      <w:rFonts w:ascii="Cambria Math" w:hAnsi="Cambria Math" w:cs="Arial"/>
                    </w:rPr>
                    <m:t>R</m:t>
                  </m:r>
                </m:e>
                <m:sub>
                  <m:r>
                    <w:rPr>
                      <w:rFonts w:ascii="Cambria Math" w:hAnsi="Cambria Math" w:cs="Arial"/>
                    </w:rPr>
                    <m:t>i</m:t>
                  </m:r>
                </m:sub>
              </m:sSub>
            </m:num>
            <m:den>
              <m:sSub>
                <m:sSubPr>
                  <m:ctrlPr>
                    <w:rPr>
                      <w:rFonts w:ascii="Cambria Math" w:hAnsi="Cambria Math" w:cs="Arial"/>
                    </w:rPr>
                  </m:ctrlPr>
                </m:sSubPr>
                <m:e>
                  <m:r>
                    <w:rPr>
                      <w:rFonts w:ascii="Cambria Math" w:hAnsi="Cambria Math" w:cs="Arial"/>
                    </w:rPr>
                    <m:t>S</m:t>
                  </m:r>
                </m:e>
                <m:sub>
                  <m:r>
                    <w:rPr>
                      <w:rFonts w:ascii="Cambria Math" w:hAnsi="Cambria Math" w:cs="Arial"/>
                    </w:rPr>
                    <m:t>CAR</m:t>
                  </m:r>
                </m:sub>
              </m:sSub>
            </m:den>
          </m:f>
        </m:oMath>
      </m:oMathPara>
    </w:p>
    <w:p w14:paraId="078A087F" w14:textId="77777777" w:rsidR="00830A7B" w:rsidRDefault="00000000" w:rsidP="00830A7B">
      <w:pPr>
        <w:spacing w:after="220"/>
        <w:rPr>
          <w:rFonts w:ascii="Arial" w:hAnsi="Arial" w:cs="Arial"/>
          <w:lang w:eastAsia="zh-CN"/>
        </w:rPr>
      </w:pPr>
      <w:r w:rsidRPr="00F27361">
        <w:rPr>
          <w:rFonts w:ascii="Arial" w:hAnsi="Arial" w:cs="Arial"/>
        </w:rPr>
        <w:t xml:space="preserve">and test statistics </w:t>
      </w:r>
      <w:r w:rsidR="00C81EE8">
        <w:rPr>
          <w:rFonts w:ascii="Arial" w:hAnsi="Arial" w:cs="Arial" w:hint="eastAsia"/>
          <w:lang w:eastAsia="zh-CN"/>
        </w:rPr>
        <w:t>follow</w:t>
      </w:r>
      <w:r w:rsidRPr="00F27361">
        <w:rPr>
          <w:rFonts w:ascii="Arial" w:hAnsi="Arial" w:cs="Arial"/>
        </w:rPr>
        <w:t xml:space="preserve"> t-distribution.</w:t>
      </w:r>
      <w:r w:rsidR="00BF1793">
        <w:rPr>
          <w:rFonts w:ascii="Arial" w:hAnsi="Arial" w:cs="Arial" w:hint="eastAsia"/>
          <w:lang w:eastAsia="zh-CN"/>
        </w:rPr>
        <w:t xml:space="preserve"> T</w:t>
      </w:r>
      <w:r w:rsidRPr="00F27361">
        <w:rPr>
          <w:rFonts w:ascii="Arial" w:hAnsi="Arial" w:cs="Arial"/>
        </w:rPr>
        <w:t>he standard deviation of CAR</w:t>
      </w:r>
      <w:r w:rsidR="00BF1793">
        <w:rPr>
          <w:rFonts w:ascii="Arial" w:hAnsi="Arial" w:cs="Arial" w:hint="eastAsia"/>
          <w:lang w:eastAsia="zh-CN"/>
        </w:rPr>
        <w:t xml:space="preserve"> is given by</w:t>
      </w:r>
      <w:r w:rsidR="00830A7B">
        <w:rPr>
          <w:rFonts w:ascii="Arial" w:hAnsi="Arial" w:cs="Arial" w:hint="eastAsia"/>
          <w:lang w:eastAsia="zh-CN"/>
        </w:rPr>
        <w:t xml:space="preserve"> </w:t>
      </w:r>
    </w:p>
    <w:p w14:paraId="3A3CD2FA" w14:textId="5574A70F" w:rsidR="00C81EE8" w:rsidRPr="00F27361" w:rsidRDefault="00C81EE8" w:rsidP="00830A7B">
      <w:pPr>
        <w:spacing w:after="220"/>
        <w:rPr>
          <w:rFonts w:ascii="Arial" w:hAnsi="Arial" w:cs="Arial"/>
          <w:lang w:eastAsia="zh-CN"/>
        </w:rPr>
      </w:pPr>
      <m:oMathPara>
        <m:oMath>
          <m:sSubSup>
            <m:sSubSupPr>
              <m:ctrlPr>
                <w:rPr>
                  <w:rFonts w:ascii="Cambria Math" w:hAnsi="Cambria Math" w:cs="Arial"/>
                </w:rPr>
              </m:ctrlPr>
            </m:sSubSupPr>
            <m:e>
              <m:r>
                <w:rPr>
                  <w:rFonts w:ascii="Cambria Math" w:hAnsi="Cambria Math" w:cs="Arial"/>
                </w:rPr>
                <m:t>S</m:t>
              </m:r>
            </m:e>
            <m:sub>
              <m:r>
                <w:rPr>
                  <w:rFonts w:ascii="Cambria Math" w:hAnsi="Cambria Math" w:cs="Arial"/>
                </w:rPr>
                <m:t>CAR</m:t>
              </m:r>
            </m:sub>
            <m:sup>
              <m:r>
                <m:rPr>
                  <m:sty m:val="p"/>
                </m:rPr>
                <w:rPr>
                  <w:rFonts w:ascii="Cambria Math" w:hAnsi="Cambria Math" w:cs="Arial"/>
                </w:rPr>
                <m:t>2</m:t>
              </m:r>
            </m:sup>
          </m:sSubSup>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2</m:t>
                  </m:r>
                </m:sub>
              </m:sSub>
            </m:num>
            <m:den>
              <m:sSub>
                <m:sSubPr>
                  <m:ctrlPr>
                    <w:rPr>
                      <w:rFonts w:ascii="Cambria Math" w:hAnsi="Cambria Math" w:cs="Arial"/>
                    </w:rPr>
                  </m:ctrlPr>
                </m:sSubPr>
                <m:e>
                  <m:r>
                    <w:rPr>
                      <w:rFonts w:ascii="Cambria Math" w:hAnsi="Cambria Math" w:cs="Arial"/>
                    </w:rPr>
                    <m:t>M</m:t>
                  </m:r>
                </m:e>
                <m:sub>
                  <m:r>
                    <w:rPr>
                      <w:rFonts w:ascii="Cambria Math" w:hAnsi="Cambria Math" w:cs="Arial"/>
                    </w:rPr>
                    <m:t>i</m:t>
                  </m:r>
                </m:sub>
              </m:sSub>
              <m:r>
                <m:rPr>
                  <m:sty m:val="p"/>
                </m:rPr>
                <w:rPr>
                  <w:rFonts w:ascii="Cambria Math" w:hAnsi="Cambria Math" w:cs="Arial"/>
                </w:rPr>
                <m:t>-2</m:t>
              </m:r>
            </m:den>
          </m:f>
          <m:nary>
            <m:naryPr>
              <m:chr m:val="∑"/>
              <m:limLoc m:val="undOvr"/>
              <m:grow m:val="1"/>
              <m:ctrlPr>
                <w:rPr>
                  <w:rFonts w:ascii="Cambria Math" w:hAnsi="Cambria Math" w:cs="Arial"/>
                </w:rPr>
              </m:ctrlPr>
            </m:naryPr>
            <m:sub>
              <m:r>
                <w:rPr>
                  <w:rFonts w:ascii="Cambria Math" w:hAnsi="Cambria Math" w:cs="Arial"/>
                </w:rPr>
                <m:t>t</m:t>
              </m:r>
            </m:sub>
            <m:sup/>
            <m:e>
              <m:r>
                <m:rPr>
                  <m:sty m:val="p"/>
                </m:rPr>
                <w:rPr>
                  <w:rFonts w:ascii="Cambria Math" w:hAnsi="Cambria Math" w:cs="Arial"/>
                </w:rPr>
                <m:t> </m:t>
              </m:r>
            </m:e>
          </m:nary>
          <m:r>
            <m:rPr>
              <m:sty m:val="p"/>
            </m:rPr>
            <w:rPr>
              <w:rFonts w:ascii="Cambria Math" w:hAnsi="Cambria Math" w:cs="Arial"/>
            </w:rPr>
            <m:t> </m:t>
          </m:r>
          <m:sSup>
            <m:sSupPr>
              <m:ctrlPr>
                <w:rPr>
                  <w:rFonts w:ascii="Cambria Math" w:hAnsi="Cambria Math" w:cs="Arial"/>
                </w:rPr>
              </m:ctrlPr>
            </m:sSupPr>
            <m:e>
              <m:d>
                <m:dPr>
                  <m:ctrlPr>
                    <w:rPr>
                      <w:rFonts w:ascii="Cambria Math" w:hAnsi="Cambria Math" w:cs="Arial"/>
                    </w:rPr>
                  </m:ctrlPr>
                </m:dPr>
                <m:e>
                  <m:r>
                    <w:rPr>
                      <w:rFonts w:ascii="Cambria Math" w:hAnsi="Cambria Math" w:cs="Arial"/>
                    </w:rPr>
                    <m:t>A</m:t>
                  </m:r>
                  <m:sSub>
                    <m:sSubPr>
                      <m:ctrlPr>
                        <w:rPr>
                          <w:rFonts w:ascii="Cambria Math" w:hAnsi="Cambria Math" w:cs="Arial"/>
                        </w:rPr>
                      </m:ctrlPr>
                    </m:sSubPr>
                    <m:e>
                      <m:r>
                        <w:rPr>
                          <w:rFonts w:ascii="Cambria Math" w:hAnsi="Cambria Math" w:cs="Arial"/>
                        </w:rPr>
                        <m:t>R</m:t>
                      </m:r>
                    </m:e>
                    <m:sub>
                      <m:r>
                        <w:rPr>
                          <w:rFonts w:ascii="Cambria Math" w:hAnsi="Cambria Math" w:cs="Arial"/>
                        </w:rPr>
                        <m:t>i</m:t>
                      </m:r>
                      <m:r>
                        <m:rPr>
                          <m:sty m:val="p"/>
                        </m:rPr>
                        <w:rPr>
                          <w:rFonts w:ascii="Cambria Math" w:hAnsi="Cambria Math" w:cs="Arial"/>
                        </w:rPr>
                        <m:t>,</m:t>
                      </m:r>
                      <m:r>
                        <w:rPr>
                          <w:rFonts w:ascii="Cambria Math" w:hAnsi="Cambria Math" w:cs="Arial"/>
                        </w:rPr>
                        <m:t>t</m:t>
                      </m:r>
                    </m:sub>
                  </m:sSub>
                </m:e>
              </m:d>
            </m:e>
            <m:sup>
              <m:r>
                <m:rPr>
                  <m:sty m:val="p"/>
                </m:rPr>
                <w:rPr>
                  <w:rFonts w:ascii="Cambria Math" w:hAnsi="Cambria Math" w:cs="Arial"/>
                </w:rPr>
                <m:t>2</m:t>
              </m:r>
            </m:sup>
          </m:sSup>
        </m:oMath>
      </m:oMathPara>
    </w:p>
    <w:p w14:paraId="49C964F5" w14:textId="77CD0E4C" w:rsidR="00502F7E" w:rsidRPr="00F27361" w:rsidRDefault="00000000">
      <w:pPr>
        <w:spacing w:after="220"/>
        <w:rPr>
          <w:rFonts w:ascii="Arial" w:hAnsi="Arial" w:cs="Arial" w:hint="eastAsia"/>
          <w:lang w:eastAsia="zh-CN"/>
        </w:rPr>
      </w:pPr>
      <w:r w:rsidRPr="00F27361">
        <w:rPr>
          <w:rFonts w:ascii="Arial" w:hAnsi="Arial" w:cs="Arial"/>
        </w:rPr>
        <w:t xml:space="preserve">where </w:t>
      </w:r>
      <m:oMath>
        <m:sSub>
          <m:sSubPr>
            <m:ctrlPr>
              <w:rPr>
                <w:rFonts w:ascii="Cambria Math" w:hAnsi="Cambria Math" w:cs="Arial"/>
              </w:rPr>
            </m:ctrlPr>
          </m:sSubPr>
          <m:e>
            <m:r>
              <w:rPr>
                <w:rFonts w:ascii="Cambria Math" w:hAnsi="Cambria Math" w:cs="Arial"/>
              </w:rPr>
              <m:t>M</m:t>
            </m:r>
          </m:e>
          <m:sub>
            <m:r>
              <w:rPr>
                <w:rFonts w:ascii="Cambria Math" w:hAnsi="Cambria Math" w:cs="Arial"/>
              </w:rPr>
              <m:t>i</m:t>
            </m:r>
          </m:sub>
        </m:sSub>
        <m:r>
          <w:rPr>
            <w:rFonts w:ascii="Cambria Math" w:hAnsi="Cambria Math" w:cs="Arial"/>
          </w:rPr>
          <m:t xml:space="preserve"> </m:t>
        </m:r>
      </m:oMath>
      <w:r w:rsidRPr="00F27361">
        <w:rPr>
          <w:rFonts w:ascii="Arial" w:hAnsi="Arial" w:cs="Arial"/>
        </w:rPr>
        <w:t xml:space="preserve">stands for the number of observations during the estimation window and </w:t>
      </w: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2</m:t>
            </m:r>
          </m:sub>
        </m:sSub>
      </m:oMath>
      <w:r w:rsidRPr="00F27361">
        <w:rPr>
          <w:rFonts w:ascii="Arial" w:hAnsi="Arial" w:cs="Arial"/>
        </w:rPr>
        <w:t xml:space="preserve"> stands for the number of abnormal returns.</w:t>
      </w:r>
      <w:r w:rsidR="00C81EE8">
        <w:rPr>
          <w:rFonts w:ascii="Arial" w:hAnsi="Arial" w:cs="Arial" w:hint="eastAsia"/>
          <w:lang w:eastAsia="zh-CN"/>
        </w:rPr>
        <w:t xml:space="preserve"> </w:t>
      </w:r>
    </w:p>
    <w:p w14:paraId="4E32ED76" w14:textId="4B6AE08B" w:rsidR="00502F7E" w:rsidRDefault="00C81EE8">
      <w:pPr>
        <w:spacing w:after="220"/>
        <w:rPr>
          <w:rFonts w:ascii="Arial" w:hAnsi="Arial" w:cs="Arial"/>
          <w:lang w:eastAsia="zh-CN"/>
        </w:rPr>
      </w:pPr>
      <w:r>
        <w:rPr>
          <w:rFonts w:ascii="Arial" w:hAnsi="Arial" w:cs="Arial" w:hint="eastAsia"/>
          <w:lang w:eastAsia="zh-CN"/>
        </w:rPr>
        <w:t>T</w:t>
      </w:r>
      <w:r w:rsidR="00000000" w:rsidRPr="00F27361">
        <w:rPr>
          <w:rFonts w:ascii="Arial" w:hAnsi="Arial" w:cs="Arial"/>
        </w:rPr>
        <w:t xml:space="preserve">hen the abnormal returns and the cumulative abnormal returns are averaged for each day in the event window, forming the AAR and CAAR respectively. Given N </w:t>
      </w:r>
      <w:r>
        <w:rPr>
          <w:rFonts w:ascii="Arial" w:hAnsi="Arial" w:cs="Arial" w:hint="eastAsia"/>
          <w:lang w:eastAsia="zh-CN"/>
        </w:rPr>
        <w:t>cases</w:t>
      </w:r>
      <w:r w:rsidR="00000000" w:rsidRPr="00F27361">
        <w:rPr>
          <w:rFonts w:ascii="Arial" w:hAnsi="Arial" w:cs="Arial"/>
        </w:rPr>
        <w:t xml:space="preserve">, </w:t>
      </w:r>
      <w:r>
        <w:rPr>
          <w:rFonts w:ascii="Arial" w:hAnsi="Arial" w:cs="Arial" w:hint="eastAsia"/>
          <w:lang w:eastAsia="zh-CN"/>
        </w:rPr>
        <w:t>we have</w:t>
      </w:r>
    </w:p>
    <w:p w14:paraId="172835ED" w14:textId="321C7F1C" w:rsidR="00C81EE8" w:rsidRPr="00830A7B" w:rsidRDefault="00C81EE8" w:rsidP="00830A7B">
      <w:pPr>
        <w:spacing w:after="220" w:line="240" w:lineRule="auto"/>
        <w:jc w:val="center"/>
        <w:rPr>
          <w:rFonts w:ascii="Arial" w:eastAsiaTheme="minorEastAsia" w:hAnsi="Arial" w:cs="Arial" w:hint="eastAsia"/>
          <w:lang w:eastAsia="zh-CN"/>
        </w:rPr>
      </w:pPr>
      <m:oMath>
        <m:r>
          <w:rPr>
            <w:rFonts w:ascii="Cambria Math" w:hAnsi="Cambria Math" w:cs="Arial"/>
          </w:rPr>
          <m:t>AA</m:t>
        </m:r>
        <m:sSub>
          <m:sSubPr>
            <m:ctrlPr>
              <w:rPr>
                <w:rFonts w:ascii="Cambria Math" w:hAnsi="Cambria Math" w:cs="Arial"/>
              </w:rPr>
            </m:ctrlPr>
          </m:sSubPr>
          <m:e>
            <m:r>
              <w:rPr>
                <w:rFonts w:ascii="Cambria Math" w:hAnsi="Cambria Math" w:cs="Arial"/>
              </w:rPr>
              <m:t>R</m:t>
            </m:r>
          </m:e>
          <m:sub>
            <m:r>
              <w:rPr>
                <w:rFonts w:ascii="Cambria Math" w:hAnsi="Cambria Math" w:cs="Arial"/>
              </w:rPr>
              <m:t>t</m:t>
            </m:r>
          </m:sub>
        </m:sSub>
        <m:r>
          <w:rPr>
            <w:rFonts w:ascii="Cambria Math" w:hAnsi="Cambria Math" w:cs="Arial"/>
          </w:rPr>
          <m:t xml:space="preserve"> </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N</m:t>
            </m:r>
          </m:den>
        </m:f>
        <m:nary>
          <m:naryPr>
            <m:chr m:val="∑"/>
            <m:limLoc m:val="undOvr"/>
            <m:grow m:val="1"/>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r>
              <m:rPr>
                <m:sty m:val="p"/>
              </m:rPr>
              <w:rPr>
                <w:rFonts w:ascii="Cambria Math" w:hAnsi="Cambria Math" w:cs="Arial"/>
              </w:rPr>
              <m:t> </m:t>
            </m:r>
          </m:e>
        </m:nary>
        <m:r>
          <m:rPr>
            <m:sty m:val="p"/>
          </m:rPr>
          <w:rPr>
            <w:rFonts w:ascii="Cambria Math" w:hAnsi="Cambria Math" w:cs="Arial"/>
          </w:rPr>
          <m:t> </m:t>
        </m:r>
        <m:r>
          <w:rPr>
            <w:rFonts w:ascii="Cambria Math" w:hAnsi="Cambria Math" w:cs="Arial"/>
          </w:rPr>
          <m:t>A</m:t>
        </m:r>
        <m:sSub>
          <m:sSubPr>
            <m:ctrlPr>
              <w:rPr>
                <w:rFonts w:ascii="Cambria Math" w:hAnsi="Cambria Math" w:cs="Arial"/>
              </w:rPr>
            </m:ctrlPr>
          </m:sSubPr>
          <m:e>
            <m:r>
              <w:rPr>
                <w:rFonts w:ascii="Cambria Math" w:hAnsi="Cambria Math" w:cs="Arial"/>
              </w:rPr>
              <m:t>R</m:t>
            </m:r>
          </m:e>
          <m:sub>
            <m:r>
              <w:rPr>
                <w:rFonts w:ascii="Cambria Math" w:hAnsi="Cambria Math" w:cs="Arial"/>
              </w:rPr>
              <m:t>i</m:t>
            </m:r>
            <m:r>
              <m:rPr>
                <m:sty m:val="p"/>
              </m:rPr>
              <w:rPr>
                <w:rFonts w:ascii="Cambria Math" w:hAnsi="Cambria Math" w:cs="Arial"/>
              </w:rPr>
              <m:t>,</m:t>
            </m:r>
            <m:r>
              <w:rPr>
                <w:rFonts w:ascii="Cambria Math" w:hAnsi="Cambria Math" w:cs="Arial"/>
              </w:rPr>
              <m:t>t</m:t>
            </m:r>
          </m:sub>
        </m:sSub>
      </m:oMath>
      <w:r w:rsidR="00830A7B">
        <w:rPr>
          <w:rFonts w:ascii="Arial" w:eastAsiaTheme="minorEastAsia" w:hAnsi="Arial" w:cs="Arial" w:hint="eastAsia"/>
          <w:lang w:eastAsia="zh-CN"/>
        </w:rPr>
        <w:t xml:space="preserve">, </w:t>
      </w:r>
      <m:oMath>
        <m:r>
          <w:rPr>
            <w:rFonts w:ascii="Cambria Math" w:hAnsi="Cambria Math" w:cs="Arial"/>
          </w:rPr>
          <m:t xml:space="preserve">CAAR </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N</m:t>
            </m:r>
          </m:den>
        </m:f>
        <m:nary>
          <m:naryPr>
            <m:chr m:val="∑"/>
            <m:limLoc m:val="undOvr"/>
            <m:grow m:val="1"/>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r>
              <m:rPr>
                <m:sty m:val="p"/>
              </m:rPr>
              <w:rPr>
                <w:rFonts w:ascii="Cambria Math" w:hAnsi="Cambria Math" w:cs="Arial"/>
              </w:rPr>
              <m:t> </m:t>
            </m:r>
          </m:e>
        </m:nary>
        <m:r>
          <m:rPr>
            <m:sty m:val="p"/>
          </m:rPr>
          <w:rPr>
            <w:rFonts w:ascii="Cambria Math" w:hAnsi="Cambria Math" w:cs="Arial"/>
          </w:rPr>
          <m:t> </m:t>
        </m:r>
        <m:r>
          <w:rPr>
            <w:rFonts w:ascii="Cambria Math" w:hAnsi="Cambria Math" w:cs="Arial"/>
          </w:rPr>
          <m:t>CA</m:t>
        </m:r>
        <m:sSub>
          <m:sSubPr>
            <m:ctrlPr>
              <w:rPr>
                <w:rFonts w:ascii="Cambria Math" w:hAnsi="Cambria Math" w:cs="Arial"/>
              </w:rPr>
            </m:ctrlPr>
          </m:sSubPr>
          <m:e>
            <m:r>
              <w:rPr>
                <w:rFonts w:ascii="Cambria Math" w:hAnsi="Cambria Math" w:cs="Arial"/>
              </w:rPr>
              <m:t>R</m:t>
            </m:r>
          </m:e>
          <m:sub>
            <m:r>
              <w:rPr>
                <w:rFonts w:ascii="Cambria Math" w:hAnsi="Cambria Math" w:cs="Arial"/>
              </w:rPr>
              <m:t>i</m:t>
            </m:r>
            <m:r>
              <m:rPr>
                <m:sty m:val="p"/>
              </m:rPr>
              <w:rPr>
                <w:rFonts w:ascii="Cambria Math" w:hAnsi="Cambria Math" w:cs="Arial"/>
              </w:rPr>
              <m:t>,</m:t>
            </m:r>
            <m:r>
              <w:rPr>
                <w:rFonts w:ascii="Cambria Math" w:hAnsi="Cambria Math" w:cs="Arial"/>
              </w:rPr>
              <m:t>t</m:t>
            </m:r>
          </m:sub>
        </m:sSub>
      </m:oMath>
    </w:p>
    <w:p w14:paraId="59447B23" w14:textId="5E195BF8" w:rsidR="00502F7E" w:rsidRDefault="00C81EE8">
      <w:pPr>
        <w:spacing w:after="220"/>
        <w:rPr>
          <w:rFonts w:ascii="Arial" w:hAnsi="Arial" w:cs="Arial"/>
        </w:rPr>
      </w:pPr>
      <w:r>
        <w:rPr>
          <w:rFonts w:ascii="Arial" w:hAnsi="Arial" w:cs="Arial" w:hint="eastAsia"/>
          <w:lang w:eastAsia="zh-CN"/>
        </w:rPr>
        <w:t xml:space="preserve">Then the </w:t>
      </w:r>
      <w:r w:rsidR="00000000" w:rsidRPr="00F27361">
        <w:rPr>
          <w:rFonts w:ascii="Arial" w:hAnsi="Arial" w:cs="Arial"/>
        </w:rPr>
        <w:t xml:space="preserve">Null hypothesis </w:t>
      </w:r>
      <w:r>
        <w:rPr>
          <w:rFonts w:ascii="Arial" w:hAnsi="Arial" w:cs="Arial" w:hint="eastAsia"/>
          <w:lang w:eastAsia="zh-CN"/>
        </w:rPr>
        <w:t>is</w:t>
      </w:r>
      <w:r w:rsidR="00000000" w:rsidRPr="00F27361">
        <w:rPr>
          <w:rFonts w:ascii="Arial" w:hAnsi="Arial" w:cs="Arial"/>
        </w:rPr>
        <w:t xml:space="preserve"> that there are no abnormal returns within the event window</w:t>
      </w:r>
      <w:r>
        <w:rPr>
          <w:rFonts w:ascii="Arial" w:hAnsi="Arial" w:cs="Arial" w:hint="eastAsia"/>
          <w:lang w:eastAsia="zh-CN"/>
        </w:rPr>
        <w:t>, and the</w:t>
      </w:r>
      <w:r w:rsidR="00000000" w:rsidRPr="00F27361">
        <w:rPr>
          <w:rFonts w:ascii="Arial" w:hAnsi="Arial" w:cs="Arial"/>
        </w:rPr>
        <w:t xml:space="preserve"> Alternative </w:t>
      </w:r>
      <w:r>
        <w:rPr>
          <w:rFonts w:ascii="Arial" w:hAnsi="Arial" w:cs="Arial" w:hint="eastAsia"/>
          <w:lang w:eastAsia="zh-CN"/>
        </w:rPr>
        <w:t>is</w:t>
      </w:r>
      <w:r w:rsidR="00000000" w:rsidRPr="00F27361">
        <w:rPr>
          <w:rFonts w:ascii="Arial" w:hAnsi="Arial" w:cs="Arial"/>
        </w:rPr>
        <w:t xml:space="preserve"> that there are abnormal returns within the event window.</w:t>
      </w:r>
      <w:r>
        <w:rPr>
          <w:rFonts w:ascii="Arial" w:hAnsi="Arial" w:cs="Arial" w:hint="eastAsia"/>
          <w:lang w:eastAsia="zh-CN"/>
        </w:rPr>
        <w:t xml:space="preserve"> </w:t>
      </w:r>
      <w:r w:rsidRPr="00F27361">
        <w:rPr>
          <w:rFonts w:ascii="Arial" w:hAnsi="Arial" w:cs="Arial"/>
        </w:rPr>
        <w:t xml:space="preserve">Under the null hypothesis, </w:t>
      </w:r>
      <w:r>
        <w:rPr>
          <w:rFonts w:ascii="Arial" w:hAnsi="Arial" w:cs="Arial" w:hint="eastAsia"/>
          <w:lang w:eastAsia="zh-CN"/>
        </w:rPr>
        <w:t xml:space="preserve">they </w:t>
      </w:r>
      <w:r w:rsidRPr="00F27361">
        <w:rPr>
          <w:rFonts w:ascii="Arial" w:hAnsi="Arial" w:cs="Arial"/>
        </w:rPr>
        <w:t>both follow a normal distribution.</w:t>
      </w:r>
      <w:r>
        <w:rPr>
          <w:rFonts w:ascii="Arial" w:hAnsi="Arial" w:cs="Arial" w:hint="eastAsia"/>
          <w:lang w:eastAsia="zh-CN"/>
        </w:rPr>
        <w:t xml:space="preserve"> The</w:t>
      </w:r>
      <w:r w:rsidR="00BF1793">
        <w:rPr>
          <w:rFonts w:ascii="Arial" w:hAnsi="Arial" w:cs="Arial" w:hint="eastAsia"/>
          <w:lang w:eastAsia="zh-CN"/>
        </w:rPr>
        <w:t>n</w:t>
      </w:r>
      <w:r>
        <w:rPr>
          <w:rFonts w:ascii="Arial" w:hAnsi="Arial" w:cs="Arial" w:hint="eastAsia"/>
          <w:lang w:eastAsia="zh-CN"/>
        </w:rPr>
        <w:t xml:space="preserve"> we have the </w:t>
      </w:r>
      <m:oMath>
        <m:r>
          <w:rPr>
            <w:rFonts w:ascii="Cambria Math" w:hAnsi="Cambria Math" w:cs="Arial"/>
          </w:rPr>
          <m:t>t</m:t>
        </m:r>
      </m:oMath>
      <w:r w:rsidRPr="00F27361">
        <w:rPr>
          <w:rFonts w:ascii="Arial" w:hAnsi="Arial" w:cs="Arial"/>
        </w:rPr>
        <w:t xml:space="preserve"> statistic</w:t>
      </w:r>
    </w:p>
    <w:p w14:paraId="09FBF75B" w14:textId="1C524162" w:rsidR="00CA7AC6" w:rsidRDefault="00BF1793" w:rsidP="00830A7B">
      <w:pPr>
        <w:spacing w:after="220"/>
        <w:jc w:val="center"/>
        <w:rPr>
          <w:rFonts w:ascii="Arial" w:hAnsi="Arial" w:cs="Arial" w:hint="eastAsia"/>
          <w:lang w:eastAsia="zh-CN"/>
        </w:rPr>
      </w:pPr>
      <m:oMath>
        <m:r>
          <w:rPr>
            <w:rFonts w:ascii="Cambria Math" w:hAnsi="Cambria Math" w:cs="Arial"/>
          </w:rPr>
          <m:t>t</m:t>
        </m:r>
        <m:r>
          <m:rPr>
            <m:sty m:val="p"/>
          </m:rPr>
          <w:rPr>
            <w:rFonts w:ascii="Cambria Math" w:hAnsi="Cambria Math" w:cs="Arial"/>
          </w:rPr>
          <m:t>=</m:t>
        </m:r>
        <m:f>
          <m:fPr>
            <m:ctrlPr>
              <w:rPr>
                <w:rFonts w:ascii="Cambria Math" w:hAnsi="Cambria Math" w:cs="Arial"/>
                <w:i/>
              </w:rPr>
            </m:ctrlPr>
          </m:fPr>
          <m:num>
            <m:r>
              <w:rPr>
                <w:rFonts w:ascii="Cambria Math" w:hAnsi="Cambria Math" w:cs="Arial"/>
              </w:rPr>
              <m:t>CA</m:t>
            </m:r>
            <m:sSub>
              <m:sSubPr>
                <m:ctrlPr>
                  <w:rPr>
                    <w:rFonts w:ascii="Cambria Math" w:hAnsi="Cambria Math" w:cs="Arial"/>
                    <w:i/>
                  </w:rPr>
                </m:ctrlPr>
              </m:sSubPr>
              <m:e>
                <m:r>
                  <w:rPr>
                    <w:rFonts w:ascii="Cambria Math" w:hAnsi="Cambria Math" w:cs="Arial"/>
                  </w:rPr>
                  <m:t>AR</m:t>
                </m:r>
              </m:e>
              <m:sub>
                <m:r>
                  <w:rPr>
                    <w:rFonts w:ascii="Cambria Math" w:hAnsi="Cambria Math" w:cs="Arial"/>
                  </w:rPr>
                  <m:t>i</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CAAR</m:t>
                </m:r>
              </m:sub>
            </m:sSub>
          </m:den>
        </m:f>
      </m:oMath>
      <w:r w:rsidR="00C81EE8" w:rsidRPr="00F27361">
        <w:rPr>
          <w:rFonts w:ascii="Arial" w:hAnsi="Arial" w:cs="Arial"/>
        </w:rPr>
        <w:t>.</w:t>
      </w:r>
    </w:p>
    <w:tbl>
      <w:tblPr>
        <w:tblW w:w="9490" w:type="dxa"/>
        <w:tblBorders>
          <w:top w:val="single" w:sz="8" w:space="0" w:color="auto"/>
          <w:bottom w:val="single" w:sz="8" w:space="0" w:color="auto"/>
        </w:tblBorders>
        <w:tblLook w:val="04A0" w:firstRow="1" w:lastRow="0" w:firstColumn="1" w:lastColumn="0" w:noHBand="0" w:noVBand="1"/>
      </w:tblPr>
      <w:tblGrid>
        <w:gridCol w:w="1170"/>
        <w:gridCol w:w="953"/>
        <w:gridCol w:w="1134"/>
        <w:gridCol w:w="1134"/>
        <w:gridCol w:w="939"/>
        <w:gridCol w:w="953"/>
        <w:gridCol w:w="1134"/>
        <w:gridCol w:w="1134"/>
        <w:gridCol w:w="939"/>
      </w:tblGrid>
      <w:tr w:rsidR="009A4041" w:rsidRPr="009A4041" w14:paraId="13164D05" w14:textId="77777777" w:rsidTr="009A4041">
        <w:trPr>
          <w:trHeight w:val="280"/>
        </w:trPr>
        <w:tc>
          <w:tcPr>
            <w:tcW w:w="1170" w:type="dxa"/>
            <w:tcBorders>
              <w:bottom w:val="single" w:sz="8" w:space="0" w:color="auto"/>
            </w:tcBorders>
            <w:shd w:val="clear" w:color="auto" w:fill="auto"/>
            <w:noWrap/>
            <w:vAlign w:val="bottom"/>
            <w:hideMark/>
          </w:tcPr>
          <w:p w14:paraId="54D2375F" w14:textId="77777777" w:rsidR="009A4041" w:rsidRPr="009A4041" w:rsidRDefault="009A4041" w:rsidP="009A4041">
            <w:pPr>
              <w:spacing w:after="0" w:line="240" w:lineRule="auto"/>
              <w:rPr>
                <w:rFonts w:ascii="Arial" w:eastAsia="Times New Roman" w:hAnsi="Arial" w:cs="Arial"/>
                <w:sz w:val="24"/>
                <w:szCs w:val="24"/>
                <w:lang w:eastAsia="zh-CN"/>
              </w:rPr>
            </w:pPr>
          </w:p>
        </w:tc>
        <w:tc>
          <w:tcPr>
            <w:tcW w:w="4160" w:type="dxa"/>
            <w:gridSpan w:val="4"/>
            <w:tcBorders>
              <w:bottom w:val="single" w:sz="8" w:space="0" w:color="auto"/>
            </w:tcBorders>
            <w:shd w:val="clear" w:color="auto" w:fill="auto"/>
            <w:noWrap/>
            <w:vAlign w:val="bottom"/>
            <w:hideMark/>
          </w:tcPr>
          <w:p w14:paraId="1FA32595"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 xml:space="preserve">Airbus incidents on </w:t>
            </w:r>
            <w:proofErr w:type="gramStart"/>
            <w:r w:rsidRPr="009A4041">
              <w:rPr>
                <w:rFonts w:ascii="Arial" w:eastAsia="等线" w:hAnsi="Arial" w:cs="Arial"/>
                <w:b/>
                <w:bCs/>
                <w:color w:val="000000"/>
                <w:lang w:eastAsia="zh-CN"/>
              </w:rPr>
              <w:t>Boeing  stock</w:t>
            </w:r>
            <w:proofErr w:type="gramEnd"/>
          </w:p>
        </w:tc>
        <w:tc>
          <w:tcPr>
            <w:tcW w:w="4160" w:type="dxa"/>
            <w:gridSpan w:val="4"/>
            <w:tcBorders>
              <w:bottom w:val="single" w:sz="8" w:space="0" w:color="auto"/>
            </w:tcBorders>
            <w:shd w:val="clear" w:color="auto" w:fill="auto"/>
            <w:noWrap/>
            <w:vAlign w:val="bottom"/>
            <w:hideMark/>
          </w:tcPr>
          <w:p w14:paraId="50E59873"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Boeing incidents on Airbus stock</w:t>
            </w:r>
          </w:p>
        </w:tc>
      </w:tr>
      <w:tr w:rsidR="009A4041" w:rsidRPr="009A4041" w14:paraId="2AAB5298" w14:textId="77777777" w:rsidTr="009A4041">
        <w:trPr>
          <w:trHeight w:val="560"/>
        </w:trPr>
        <w:tc>
          <w:tcPr>
            <w:tcW w:w="1170" w:type="dxa"/>
            <w:tcBorders>
              <w:top w:val="single" w:sz="8" w:space="0" w:color="auto"/>
              <w:bottom w:val="nil"/>
            </w:tcBorders>
            <w:shd w:val="clear" w:color="auto" w:fill="auto"/>
            <w:vAlign w:val="center"/>
            <w:hideMark/>
          </w:tcPr>
          <w:p w14:paraId="5995791B"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Event Category</w:t>
            </w:r>
          </w:p>
        </w:tc>
        <w:tc>
          <w:tcPr>
            <w:tcW w:w="953" w:type="dxa"/>
            <w:tcBorders>
              <w:top w:val="single" w:sz="8" w:space="0" w:color="auto"/>
              <w:bottom w:val="nil"/>
            </w:tcBorders>
            <w:shd w:val="clear" w:color="auto" w:fill="auto"/>
            <w:vAlign w:val="center"/>
            <w:hideMark/>
          </w:tcPr>
          <w:p w14:paraId="5653D4CD"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Event Count</w:t>
            </w:r>
          </w:p>
        </w:tc>
        <w:tc>
          <w:tcPr>
            <w:tcW w:w="1134" w:type="dxa"/>
            <w:tcBorders>
              <w:top w:val="single" w:sz="8" w:space="0" w:color="auto"/>
              <w:bottom w:val="nil"/>
            </w:tcBorders>
            <w:shd w:val="clear" w:color="auto" w:fill="auto"/>
            <w:vAlign w:val="center"/>
            <w:hideMark/>
          </w:tcPr>
          <w:p w14:paraId="6917AE10"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t-statistic</w:t>
            </w:r>
          </w:p>
        </w:tc>
        <w:tc>
          <w:tcPr>
            <w:tcW w:w="1134" w:type="dxa"/>
            <w:tcBorders>
              <w:top w:val="single" w:sz="8" w:space="0" w:color="auto"/>
              <w:bottom w:val="nil"/>
            </w:tcBorders>
            <w:shd w:val="clear" w:color="auto" w:fill="auto"/>
            <w:vAlign w:val="center"/>
            <w:hideMark/>
          </w:tcPr>
          <w:p w14:paraId="4C7D83BD"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p-value</w:t>
            </w:r>
          </w:p>
        </w:tc>
        <w:tc>
          <w:tcPr>
            <w:tcW w:w="939" w:type="dxa"/>
            <w:tcBorders>
              <w:top w:val="single" w:sz="8" w:space="0" w:color="auto"/>
              <w:bottom w:val="nil"/>
            </w:tcBorders>
            <w:shd w:val="clear" w:color="auto" w:fill="auto"/>
            <w:vAlign w:val="center"/>
            <w:hideMark/>
          </w:tcPr>
          <w:p w14:paraId="0633C108"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Reject at 5%</w:t>
            </w:r>
          </w:p>
        </w:tc>
        <w:tc>
          <w:tcPr>
            <w:tcW w:w="953" w:type="dxa"/>
            <w:tcBorders>
              <w:top w:val="single" w:sz="8" w:space="0" w:color="auto"/>
              <w:bottom w:val="nil"/>
            </w:tcBorders>
            <w:shd w:val="clear" w:color="auto" w:fill="auto"/>
            <w:vAlign w:val="center"/>
            <w:hideMark/>
          </w:tcPr>
          <w:p w14:paraId="0A80FB71"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Event Count</w:t>
            </w:r>
          </w:p>
        </w:tc>
        <w:tc>
          <w:tcPr>
            <w:tcW w:w="1134" w:type="dxa"/>
            <w:tcBorders>
              <w:top w:val="single" w:sz="8" w:space="0" w:color="auto"/>
              <w:bottom w:val="nil"/>
            </w:tcBorders>
            <w:shd w:val="clear" w:color="auto" w:fill="auto"/>
            <w:vAlign w:val="center"/>
            <w:hideMark/>
          </w:tcPr>
          <w:p w14:paraId="113AE5FC"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t-statistic</w:t>
            </w:r>
          </w:p>
        </w:tc>
        <w:tc>
          <w:tcPr>
            <w:tcW w:w="1134" w:type="dxa"/>
            <w:tcBorders>
              <w:top w:val="single" w:sz="8" w:space="0" w:color="auto"/>
              <w:bottom w:val="nil"/>
            </w:tcBorders>
            <w:shd w:val="clear" w:color="auto" w:fill="auto"/>
            <w:vAlign w:val="center"/>
            <w:hideMark/>
          </w:tcPr>
          <w:p w14:paraId="1B95B669"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p-value</w:t>
            </w:r>
          </w:p>
        </w:tc>
        <w:tc>
          <w:tcPr>
            <w:tcW w:w="939" w:type="dxa"/>
            <w:tcBorders>
              <w:top w:val="single" w:sz="8" w:space="0" w:color="auto"/>
              <w:bottom w:val="nil"/>
            </w:tcBorders>
            <w:shd w:val="clear" w:color="auto" w:fill="auto"/>
            <w:vAlign w:val="center"/>
            <w:hideMark/>
          </w:tcPr>
          <w:p w14:paraId="5983A705"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Reject at 5%</w:t>
            </w:r>
          </w:p>
        </w:tc>
      </w:tr>
      <w:tr w:rsidR="009A4041" w:rsidRPr="009A4041" w14:paraId="22AC4A8A" w14:textId="77777777" w:rsidTr="009A4041">
        <w:trPr>
          <w:trHeight w:val="280"/>
        </w:trPr>
        <w:tc>
          <w:tcPr>
            <w:tcW w:w="1170" w:type="dxa"/>
            <w:tcBorders>
              <w:top w:val="nil"/>
            </w:tcBorders>
            <w:shd w:val="clear" w:color="auto" w:fill="auto"/>
            <w:vAlign w:val="center"/>
            <w:hideMark/>
          </w:tcPr>
          <w:p w14:paraId="098C5AA7"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OCC</w:t>
            </w:r>
          </w:p>
        </w:tc>
        <w:tc>
          <w:tcPr>
            <w:tcW w:w="953" w:type="dxa"/>
            <w:tcBorders>
              <w:top w:val="nil"/>
            </w:tcBorders>
            <w:shd w:val="clear" w:color="auto" w:fill="auto"/>
            <w:vAlign w:val="center"/>
            <w:hideMark/>
          </w:tcPr>
          <w:p w14:paraId="687E6C71"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6</w:t>
            </w:r>
          </w:p>
        </w:tc>
        <w:tc>
          <w:tcPr>
            <w:tcW w:w="1134" w:type="dxa"/>
            <w:tcBorders>
              <w:top w:val="nil"/>
            </w:tcBorders>
            <w:shd w:val="clear" w:color="auto" w:fill="auto"/>
            <w:vAlign w:val="center"/>
            <w:hideMark/>
          </w:tcPr>
          <w:p w14:paraId="55131898"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-3.18167</w:t>
            </w:r>
          </w:p>
        </w:tc>
        <w:tc>
          <w:tcPr>
            <w:tcW w:w="1134" w:type="dxa"/>
            <w:tcBorders>
              <w:top w:val="nil"/>
            </w:tcBorders>
            <w:shd w:val="clear" w:color="auto" w:fill="auto"/>
            <w:vAlign w:val="center"/>
            <w:hideMark/>
          </w:tcPr>
          <w:p w14:paraId="58A36E7C"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0.001872</w:t>
            </w:r>
          </w:p>
        </w:tc>
        <w:tc>
          <w:tcPr>
            <w:tcW w:w="939" w:type="dxa"/>
            <w:tcBorders>
              <w:top w:val="nil"/>
            </w:tcBorders>
            <w:shd w:val="clear" w:color="auto" w:fill="auto"/>
            <w:vAlign w:val="center"/>
            <w:hideMark/>
          </w:tcPr>
          <w:p w14:paraId="10D28123"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Yes</w:t>
            </w:r>
          </w:p>
        </w:tc>
        <w:tc>
          <w:tcPr>
            <w:tcW w:w="953" w:type="dxa"/>
            <w:tcBorders>
              <w:top w:val="nil"/>
            </w:tcBorders>
            <w:shd w:val="clear" w:color="auto" w:fill="auto"/>
            <w:vAlign w:val="center"/>
            <w:hideMark/>
          </w:tcPr>
          <w:p w14:paraId="76B0D961"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20</w:t>
            </w:r>
          </w:p>
        </w:tc>
        <w:tc>
          <w:tcPr>
            <w:tcW w:w="1134" w:type="dxa"/>
            <w:tcBorders>
              <w:top w:val="nil"/>
            </w:tcBorders>
            <w:shd w:val="clear" w:color="auto" w:fill="auto"/>
            <w:vAlign w:val="center"/>
            <w:hideMark/>
          </w:tcPr>
          <w:p w14:paraId="79904AE2"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1.491375</w:t>
            </w:r>
          </w:p>
        </w:tc>
        <w:tc>
          <w:tcPr>
            <w:tcW w:w="1134" w:type="dxa"/>
            <w:tcBorders>
              <w:top w:val="nil"/>
            </w:tcBorders>
            <w:shd w:val="clear" w:color="auto" w:fill="auto"/>
            <w:vAlign w:val="center"/>
            <w:hideMark/>
          </w:tcPr>
          <w:p w14:paraId="2F95A8A1"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0.138532</w:t>
            </w:r>
          </w:p>
        </w:tc>
        <w:tc>
          <w:tcPr>
            <w:tcW w:w="939" w:type="dxa"/>
            <w:tcBorders>
              <w:top w:val="nil"/>
            </w:tcBorders>
            <w:shd w:val="clear" w:color="auto" w:fill="auto"/>
            <w:vAlign w:val="center"/>
            <w:hideMark/>
          </w:tcPr>
          <w:p w14:paraId="1B72EAF4"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No</w:t>
            </w:r>
          </w:p>
        </w:tc>
      </w:tr>
      <w:tr w:rsidR="009A4041" w:rsidRPr="009A4041" w14:paraId="38800A81" w14:textId="77777777" w:rsidTr="009A4041">
        <w:trPr>
          <w:trHeight w:val="280"/>
        </w:trPr>
        <w:tc>
          <w:tcPr>
            <w:tcW w:w="1170" w:type="dxa"/>
            <w:shd w:val="clear" w:color="auto" w:fill="auto"/>
            <w:vAlign w:val="center"/>
            <w:hideMark/>
          </w:tcPr>
          <w:p w14:paraId="46B456F1"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ACC</w:t>
            </w:r>
          </w:p>
        </w:tc>
        <w:tc>
          <w:tcPr>
            <w:tcW w:w="953" w:type="dxa"/>
            <w:shd w:val="clear" w:color="auto" w:fill="auto"/>
            <w:vAlign w:val="center"/>
            <w:hideMark/>
          </w:tcPr>
          <w:p w14:paraId="0F7827FB"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163</w:t>
            </w:r>
          </w:p>
        </w:tc>
        <w:tc>
          <w:tcPr>
            <w:tcW w:w="1134" w:type="dxa"/>
            <w:shd w:val="clear" w:color="auto" w:fill="auto"/>
            <w:vAlign w:val="center"/>
            <w:hideMark/>
          </w:tcPr>
          <w:p w14:paraId="0FA28627"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0.261365</w:t>
            </w:r>
          </w:p>
        </w:tc>
        <w:tc>
          <w:tcPr>
            <w:tcW w:w="1134" w:type="dxa"/>
            <w:shd w:val="clear" w:color="auto" w:fill="auto"/>
            <w:vAlign w:val="center"/>
            <w:hideMark/>
          </w:tcPr>
          <w:p w14:paraId="690141F5"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0.794267</w:t>
            </w:r>
          </w:p>
        </w:tc>
        <w:tc>
          <w:tcPr>
            <w:tcW w:w="939" w:type="dxa"/>
            <w:shd w:val="clear" w:color="auto" w:fill="auto"/>
            <w:vAlign w:val="center"/>
            <w:hideMark/>
          </w:tcPr>
          <w:p w14:paraId="704C5241"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No</w:t>
            </w:r>
          </w:p>
        </w:tc>
        <w:tc>
          <w:tcPr>
            <w:tcW w:w="953" w:type="dxa"/>
            <w:shd w:val="clear" w:color="auto" w:fill="auto"/>
            <w:vAlign w:val="center"/>
            <w:hideMark/>
          </w:tcPr>
          <w:p w14:paraId="3AFC8A4A"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135</w:t>
            </w:r>
          </w:p>
        </w:tc>
        <w:tc>
          <w:tcPr>
            <w:tcW w:w="1134" w:type="dxa"/>
            <w:shd w:val="clear" w:color="auto" w:fill="auto"/>
            <w:vAlign w:val="center"/>
            <w:hideMark/>
          </w:tcPr>
          <w:p w14:paraId="05520A55"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0.388978</w:t>
            </w:r>
          </w:p>
        </w:tc>
        <w:tc>
          <w:tcPr>
            <w:tcW w:w="1134" w:type="dxa"/>
            <w:shd w:val="clear" w:color="auto" w:fill="auto"/>
            <w:vAlign w:val="center"/>
            <w:hideMark/>
          </w:tcPr>
          <w:p w14:paraId="3763235D"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0.697993</w:t>
            </w:r>
          </w:p>
        </w:tc>
        <w:tc>
          <w:tcPr>
            <w:tcW w:w="939" w:type="dxa"/>
            <w:shd w:val="clear" w:color="auto" w:fill="auto"/>
            <w:vAlign w:val="center"/>
            <w:hideMark/>
          </w:tcPr>
          <w:p w14:paraId="7150815F"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No</w:t>
            </w:r>
          </w:p>
        </w:tc>
      </w:tr>
      <w:tr w:rsidR="009A4041" w:rsidRPr="009A4041" w14:paraId="2186F7A7" w14:textId="77777777" w:rsidTr="009A4041">
        <w:trPr>
          <w:trHeight w:val="280"/>
        </w:trPr>
        <w:tc>
          <w:tcPr>
            <w:tcW w:w="1170" w:type="dxa"/>
            <w:shd w:val="clear" w:color="auto" w:fill="auto"/>
            <w:vAlign w:val="center"/>
            <w:hideMark/>
          </w:tcPr>
          <w:p w14:paraId="231FCD68"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INC</w:t>
            </w:r>
          </w:p>
        </w:tc>
        <w:tc>
          <w:tcPr>
            <w:tcW w:w="953" w:type="dxa"/>
            <w:shd w:val="clear" w:color="auto" w:fill="auto"/>
            <w:vAlign w:val="center"/>
            <w:hideMark/>
          </w:tcPr>
          <w:p w14:paraId="1617E0C1"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224</w:t>
            </w:r>
          </w:p>
        </w:tc>
        <w:tc>
          <w:tcPr>
            <w:tcW w:w="1134" w:type="dxa"/>
            <w:shd w:val="clear" w:color="auto" w:fill="auto"/>
            <w:vAlign w:val="center"/>
            <w:hideMark/>
          </w:tcPr>
          <w:p w14:paraId="2D161B04"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0.226413</w:t>
            </w:r>
          </w:p>
        </w:tc>
        <w:tc>
          <w:tcPr>
            <w:tcW w:w="1134" w:type="dxa"/>
            <w:shd w:val="clear" w:color="auto" w:fill="auto"/>
            <w:vAlign w:val="center"/>
            <w:hideMark/>
          </w:tcPr>
          <w:p w14:paraId="44172632"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0.821272</w:t>
            </w:r>
          </w:p>
        </w:tc>
        <w:tc>
          <w:tcPr>
            <w:tcW w:w="939" w:type="dxa"/>
            <w:shd w:val="clear" w:color="auto" w:fill="auto"/>
            <w:vAlign w:val="center"/>
            <w:hideMark/>
          </w:tcPr>
          <w:p w14:paraId="4721196A"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No</w:t>
            </w:r>
          </w:p>
        </w:tc>
        <w:tc>
          <w:tcPr>
            <w:tcW w:w="953" w:type="dxa"/>
            <w:shd w:val="clear" w:color="auto" w:fill="auto"/>
            <w:vAlign w:val="center"/>
            <w:hideMark/>
          </w:tcPr>
          <w:p w14:paraId="5BD8DBC3"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234</w:t>
            </w:r>
          </w:p>
        </w:tc>
        <w:tc>
          <w:tcPr>
            <w:tcW w:w="1134" w:type="dxa"/>
            <w:shd w:val="clear" w:color="auto" w:fill="auto"/>
            <w:vAlign w:val="center"/>
            <w:hideMark/>
          </w:tcPr>
          <w:p w14:paraId="2973A307"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0.253</w:t>
            </w:r>
          </w:p>
        </w:tc>
        <w:tc>
          <w:tcPr>
            <w:tcW w:w="1134" w:type="dxa"/>
            <w:shd w:val="clear" w:color="auto" w:fill="auto"/>
            <w:vAlign w:val="center"/>
            <w:hideMark/>
          </w:tcPr>
          <w:p w14:paraId="54421F8E" w14:textId="77777777" w:rsidR="009A4041" w:rsidRPr="009A4041" w:rsidRDefault="009A4041" w:rsidP="009A4041">
            <w:pPr>
              <w:spacing w:after="0" w:line="240" w:lineRule="auto"/>
              <w:jc w:val="right"/>
              <w:rPr>
                <w:rFonts w:ascii="Arial" w:eastAsia="等线" w:hAnsi="Arial" w:cs="Arial"/>
                <w:color w:val="000000"/>
                <w:lang w:eastAsia="zh-CN"/>
              </w:rPr>
            </w:pPr>
            <w:r w:rsidRPr="009A4041">
              <w:rPr>
                <w:rFonts w:ascii="Arial" w:eastAsia="等线" w:hAnsi="Arial" w:cs="Arial"/>
                <w:color w:val="000000"/>
                <w:lang w:eastAsia="zh-CN"/>
              </w:rPr>
              <w:t>0.800709</w:t>
            </w:r>
          </w:p>
        </w:tc>
        <w:tc>
          <w:tcPr>
            <w:tcW w:w="939" w:type="dxa"/>
            <w:shd w:val="clear" w:color="auto" w:fill="auto"/>
            <w:vAlign w:val="center"/>
            <w:hideMark/>
          </w:tcPr>
          <w:p w14:paraId="07C16687" w14:textId="77777777" w:rsidR="009A4041" w:rsidRPr="009A4041" w:rsidRDefault="009A4041" w:rsidP="009A4041">
            <w:pPr>
              <w:spacing w:after="0" w:line="240" w:lineRule="auto"/>
              <w:rPr>
                <w:rFonts w:ascii="Arial" w:eastAsia="等线" w:hAnsi="Arial" w:cs="Arial"/>
                <w:color w:val="000000"/>
                <w:lang w:eastAsia="zh-CN"/>
              </w:rPr>
            </w:pPr>
            <w:r w:rsidRPr="009A4041">
              <w:rPr>
                <w:rFonts w:ascii="Arial" w:eastAsia="等线" w:hAnsi="Arial" w:cs="Arial"/>
                <w:color w:val="000000"/>
                <w:lang w:eastAsia="zh-CN"/>
              </w:rPr>
              <w:t>No</w:t>
            </w:r>
          </w:p>
        </w:tc>
      </w:tr>
    </w:tbl>
    <w:tbl>
      <w:tblPr>
        <w:tblpPr w:leftFromText="180" w:rightFromText="180" w:vertAnchor="text" w:horzAnchor="margin" w:tblpY="297"/>
        <w:tblW w:w="9490" w:type="dxa"/>
        <w:tblBorders>
          <w:top w:val="single" w:sz="8" w:space="0" w:color="auto"/>
          <w:bottom w:val="single" w:sz="8" w:space="0" w:color="auto"/>
        </w:tblBorders>
        <w:tblLook w:val="04A0" w:firstRow="1" w:lastRow="0" w:firstColumn="1" w:lastColumn="0" w:noHBand="0" w:noVBand="1"/>
      </w:tblPr>
      <w:tblGrid>
        <w:gridCol w:w="1170"/>
        <w:gridCol w:w="953"/>
        <w:gridCol w:w="1134"/>
        <w:gridCol w:w="1134"/>
        <w:gridCol w:w="939"/>
        <w:gridCol w:w="953"/>
        <w:gridCol w:w="1134"/>
        <w:gridCol w:w="1134"/>
        <w:gridCol w:w="939"/>
      </w:tblGrid>
      <w:tr w:rsidR="009A4041" w:rsidRPr="009A4041" w14:paraId="3633CC29" w14:textId="77777777" w:rsidTr="009A4041">
        <w:trPr>
          <w:trHeight w:val="280"/>
        </w:trPr>
        <w:tc>
          <w:tcPr>
            <w:tcW w:w="1170" w:type="dxa"/>
            <w:tcBorders>
              <w:bottom w:val="single" w:sz="8" w:space="0" w:color="auto"/>
            </w:tcBorders>
            <w:shd w:val="clear" w:color="auto" w:fill="auto"/>
            <w:noWrap/>
            <w:vAlign w:val="bottom"/>
            <w:hideMark/>
          </w:tcPr>
          <w:p w14:paraId="25C9E1A3" w14:textId="77777777" w:rsidR="009A4041" w:rsidRPr="009A4041" w:rsidRDefault="009A4041" w:rsidP="009A4041">
            <w:pPr>
              <w:spacing w:after="0" w:line="240" w:lineRule="auto"/>
              <w:jc w:val="center"/>
              <w:rPr>
                <w:rFonts w:ascii="Arial" w:eastAsia="Times New Roman" w:hAnsi="Arial" w:cs="Arial"/>
                <w:sz w:val="24"/>
                <w:szCs w:val="24"/>
                <w:lang w:eastAsia="zh-CN"/>
              </w:rPr>
            </w:pPr>
          </w:p>
        </w:tc>
        <w:tc>
          <w:tcPr>
            <w:tcW w:w="4160" w:type="dxa"/>
            <w:gridSpan w:val="4"/>
            <w:tcBorders>
              <w:bottom w:val="single" w:sz="8" w:space="0" w:color="auto"/>
            </w:tcBorders>
            <w:shd w:val="clear" w:color="auto" w:fill="auto"/>
            <w:noWrap/>
            <w:vAlign w:val="bottom"/>
            <w:hideMark/>
          </w:tcPr>
          <w:p w14:paraId="4CE1E196"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 xml:space="preserve">Airbus incidents on </w:t>
            </w:r>
            <w:proofErr w:type="gramStart"/>
            <w:r w:rsidRPr="009A4041">
              <w:rPr>
                <w:rFonts w:ascii="Arial" w:eastAsia="等线" w:hAnsi="Arial" w:cs="Arial"/>
                <w:b/>
                <w:bCs/>
                <w:color w:val="000000"/>
                <w:lang w:eastAsia="zh-CN"/>
              </w:rPr>
              <w:t>Boeing  stock</w:t>
            </w:r>
            <w:proofErr w:type="gramEnd"/>
          </w:p>
        </w:tc>
        <w:tc>
          <w:tcPr>
            <w:tcW w:w="4160" w:type="dxa"/>
            <w:gridSpan w:val="4"/>
            <w:tcBorders>
              <w:bottom w:val="single" w:sz="8" w:space="0" w:color="auto"/>
            </w:tcBorders>
            <w:shd w:val="clear" w:color="auto" w:fill="auto"/>
            <w:noWrap/>
            <w:vAlign w:val="bottom"/>
            <w:hideMark/>
          </w:tcPr>
          <w:p w14:paraId="10981A40"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Boeing incidents on Airbus stock</w:t>
            </w:r>
          </w:p>
        </w:tc>
      </w:tr>
      <w:tr w:rsidR="009A4041" w:rsidRPr="009A4041" w14:paraId="157264B0" w14:textId="77777777" w:rsidTr="009A4041">
        <w:trPr>
          <w:trHeight w:val="560"/>
        </w:trPr>
        <w:tc>
          <w:tcPr>
            <w:tcW w:w="1170" w:type="dxa"/>
            <w:tcBorders>
              <w:top w:val="single" w:sz="8" w:space="0" w:color="auto"/>
              <w:bottom w:val="nil"/>
            </w:tcBorders>
            <w:shd w:val="clear" w:color="auto" w:fill="auto"/>
            <w:vAlign w:val="center"/>
            <w:hideMark/>
          </w:tcPr>
          <w:p w14:paraId="7C2C2299"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Event Category</w:t>
            </w:r>
          </w:p>
        </w:tc>
        <w:tc>
          <w:tcPr>
            <w:tcW w:w="953" w:type="dxa"/>
            <w:tcBorders>
              <w:top w:val="single" w:sz="8" w:space="0" w:color="auto"/>
              <w:bottom w:val="nil"/>
            </w:tcBorders>
            <w:shd w:val="clear" w:color="auto" w:fill="auto"/>
            <w:vAlign w:val="center"/>
            <w:hideMark/>
          </w:tcPr>
          <w:p w14:paraId="44384264"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Event Count</w:t>
            </w:r>
          </w:p>
        </w:tc>
        <w:tc>
          <w:tcPr>
            <w:tcW w:w="1134" w:type="dxa"/>
            <w:tcBorders>
              <w:top w:val="single" w:sz="8" w:space="0" w:color="auto"/>
              <w:bottom w:val="nil"/>
            </w:tcBorders>
            <w:shd w:val="clear" w:color="auto" w:fill="auto"/>
            <w:vAlign w:val="center"/>
            <w:hideMark/>
          </w:tcPr>
          <w:p w14:paraId="3D57C514"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t-statistic</w:t>
            </w:r>
          </w:p>
        </w:tc>
        <w:tc>
          <w:tcPr>
            <w:tcW w:w="1134" w:type="dxa"/>
            <w:tcBorders>
              <w:top w:val="single" w:sz="8" w:space="0" w:color="auto"/>
              <w:bottom w:val="nil"/>
            </w:tcBorders>
            <w:shd w:val="clear" w:color="auto" w:fill="auto"/>
            <w:vAlign w:val="center"/>
            <w:hideMark/>
          </w:tcPr>
          <w:p w14:paraId="6B30666E"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p-value</w:t>
            </w:r>
          </w:p>
        </w:tc>
        <w:tc>
          <w:tcPr>
            <w:tcW w:w="939" w:type="dxa"/>
            <w:tcBorders>
              <w:top w:val="single" w:sz="8" w:space="0" w:color="auto"/>
              <w:bottom w:val="nil"/>
            </w:tcBorders>
            <w:shd w:val="clear" w:color="auto" w:fill="auto"/>
            <w:vAlign w:val="center"/>
            <w:hideMark/>
          </w:tcPr>
          <w:p w14:paraId="3AD685D1"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Reject at 5%</w:t>
            </w:r>
          </w:p>
        </w:tc>
        <w:tc>
          <w:tcPr>
            <w:tcW w:w="953" w:type="dxa"/>
            <w:tcBorders>
              <w:top w:val="single" w:sz="8" w:space="0" w:color="auto"/>
              <w:bottom w:val="nil"/>
            </w:tcBorders>
            <w:shd w:val="clear" w:color="auto" w:fill="auto"/>
            <w:vAlign w:val="center"/>
            <w:hideMark/>
          </w:tcPr>
          <w:p w14:paraId="52D88681"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Event Count</w:t>
            </w:r>
          </w:p>
        </w:tc>
        <w:tc>
          <w:tcPr>
            <w:tcW w:w="1134" w:type="dxa"/>
            <w:tcBorders>
              <w:top w:val="single" w:sz="8" w:space="0" w:color="auto"/>
              <w:bottom w:val="nil"/>
            </w:tcBorders>
            <w:shd w:val="clear" w:color="auto" w:fill="auto"/>
            <w:vAlign w:val="center"/>
            <w:hideMark/>
          </w:tcPr>
          <w:p w14:paraId="57ACEC10"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t-statistic</w:t>
            </w:r>
          </w:p>
        </w:tc>
        <w:tc>
          <w:tcPr>
            <w:tcW w:w="1134" w:type="dxa"/>
            <w:tcBorders>
              <w:top w:val="single" w:sz="8" w:space="0" w:color="auto"/>
              <w:bottom w:val="nil"/>
            </w:tcBorders>
            <w:shd w:val="clear" w:color="auto" w:fill="auto"/>
            <w:vAlign w:val="center"/>
            <w:hideMark/>
          </w:tcPr>
          <w:p w14:paraId="1FE8FC8E"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p-value</w:t>
            </w:r>
          </w:p>
        </w:tc>
        <w:tc>
          <w:tcPr>
            <w:tcW w:w="939" w:type="dxa"/>
            <w:tcBorders>
              <w:top w:val="single" w:sz="8" w:space="0" w:color="auto"/>
              <w:bottom w:val="nil"/>
            </w:tcBorders>
            <w:shd w:val="clear" w:color="auto" w:fill="auto"/>
            <w:vAlign w:val="center"/>
            <w:hideMark/>
          </w:tcPr>
          <w:p w14:paraId="482D85CA" w14:textId="77777777" w:rsidR="009A4041" w:rsidRPr="009A4041" w:rsidRDefault="009A4041" w:rsidP="009A4041">
            <w:pPr>
              <w:spacing w:after="0" w:line="240" w:lineRule="auto"/>
              <w:jc w:val="center"/>
              <w:rPr>
                <w:rFonts w:ascii="Arial" w:eastAsia="等线" w:hAnsi="Arial" w:cs="Arial"/>
                <w:b/>
                <w:bCs/>
                <w:color w:val="000000"/>
                <w:lang w:eastAsia="zh-CN"/>
              </w:rPr>
            </w:pPr>
            <w:r w:rsidRPr="009A4041">
              <w:rPr>
                <w:rFonts w:ascii="Arial" w:eastAsia="等线" w:hAnsi="Arial" w:cs="Arial"/>
                <w:b/>
                <w:bCs/>
                <w:color w:val="000000"/>
                <w:lang w:eastAsia="zh-CN"/>
              </w:rPr>
              <w:t>Reject at 5%</w:t>
            </w:r>
          </w:p>
        </w:tc>
      </w:tr>
      <w:tr w:rsidR="009A4041" w:rsidRPr="009A4041" w14:paraId="06A0B35F" w14:textId="77777777" w:rsidTr="009A4041">
        <w:trPr>
          <w:trHeight w:val="60"/>
        </w:trPr>
        <w:tc>
          <w:tcPr>
            <w:tcW w:w="1170" w:type="dxa"/>
            <w:tcBorders>
              <w:top w:val="nil"/>
              <w:bottom w:val="nil"/>
            </w:tcBorders>
            <w:shd w:val="clear" w:color="auto" w:fill="auto"/>
            <w:vAlign w:val="center"/>
            <w:hideMark/>
          </w:tcPr>
          <w:p w14:paraId="608D604B"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Major Injury</w:t>
            </w:r>
          </w:p>
        </w:tc>
        <w:tc>
          <w:tcPr>
            <w:tcW w:w="953" w:type="dxa"/>
            <w:tcBorders>
              <w:top w:val="nil"/>
              <w:bottom w:val="nil"/>
            </w:tcBorders>
            <w:shd w:val="clear" w:color="auto" w:fill="auto"/>
            <w:vAlign w:val="center"/>
            <w:hideMark/>
          </w:tcPr>
          <w:p w14:paraId="2AB40B78"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3</w:t>
            </w:r>
          </w:p>
        </w:tc>
        <w:tc>
          <w:tcPr>
            <w:tcW w:w="1134" w:type="dxa"/>
            <w:tcBorders>
              <w:top w:val="nil"/>
              <w:bottom w:val="nil"/>
            </w:tcBorders>
            <w:shd w:val="clear" w:color="auto" w:fill="auto"/>
            <w:vAlign w:val="center"/>
            <w:hideMark/>
          </w:tcPr>
          <w:p w14:paraId="5828B57C"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2.103557</w:t>
            </w:r>
          </w:p>
        </w:tc>
        <w:tc>
          <w:tcPr>
            <w:tcW w:w="1134" w:type="dxa"/>
            <w:tcBorders>
              <w:top w:val="nil"/>
              <w:bottom w:val="nil"/>
            </w:tcBorders>
            <w:shd w:val="clear" w:color="auto" w:fill="auto"/>
            <w:vAlign w:val="center"/>
            <w:hideMark/>
          </w:tcPr>
          <w:p w14:paraId="2CC74D69"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0.036425</w:t>
            </w:r>
          </w:p>
        </w:tc>
        <w:tc>
          <w:tcPr>
            <w:tcW w:w="939" w:type="dxa"/>
            <w:tcBorders>
              <w:top w:val="nil"/>
              <w:bottom w:val="nil"/>
            </w:tcBorders>
            <w:shd w:val="clear" w:color="auto" w:fill="auto"/>
            <w:vAlign w:val="center"/>
            <w:hideMark/>
          </w:tcPr>
          <w:p w14:paraId="74F1762E"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Yes</w:t>
            </w:r>
          </w:p>
        </w:tc>
        <w:tc>
          <w:tcPr>
            <w:tcW w:w="953" w:type="dxa"/>
            <w:tcBorders>
              <w:top w:val="nil"/>
              <w:bottom w:val="nil"/>
            </w:tcBorders>
            <w:shd w:val="clear" w:color="auto" w:fill="auto"/>
            <w:vAlign w:val="center"/>
            <w:hideMark/>
          </w:tcPr>
          <w:p w14:paraId="6E4FB606"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2</w:t>
            </w:r>
          </w:p>
        </w:tc>
        <w:tc>
          <w:tcPr>
            <w:tcW w:w="1134" w:type="dxa"/>
            <w:tcBorders>
              <w:top w:val="nil"/>
              <w:bottom w:val="nil"/>
            </w:tcBorders>
            <w:shd w:val="clear" w:color="auto" w:fill="auto"/>
            <w:vAlign w:val="center"/>
            <w:hideMark/>
          </w:tcPr>
          <w:p w14:paraId="0306F301"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-1.27902</w:t>
            </w:r>
          </w:p>
        </w:tc>
        <w:tc>
          <w:tcPr>
            <w:tcW w:w="1134" w:type="dxa"/>
            <w:tcBorders>
              <w:top w:val="nil"/>
              <w:bottom w:val="nil"/>
            </w:tcBorders>
            <w:shd w:val="clear" w:color="auto" w:fill="auto"/>
            <w:vAlign w:val="center"/>
            <w:hideMark/>
          </w:tcPr>
          <w:p w14:paraId="3CA5135A"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0.203399</w:t>
            </w:r>
          </w:p>
        </w:tc>
        <w:tc>
          <w:tcPr>
            <w:tcW w:w="939" w:type="dxa"/>
            <w:tcBorders>
              <w:top w:val="nil"/>
              <w:bottom w:val="nil"/>
            </w:tcBorders>
            <w:shd w:val="clear" w:color="auto" w:fill="auto"/>
            <w:vAlign w:val="center"/>
            <w:hideMark/>
          </w:tcPr>
          <w:p w14:paraId="23E4410F"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No</w:t>
            </w:r>
          </w:p>
        </w:tc>
      </w:tr>
      <w:tr w:rsidR="009A4041" w:rsidRPr="009A4041" w14:paraId="4AB3BDF3" w14:textId="77777777" w:rsidTr="00084AC8">
        <w:trPr>
          <w:trHeight w:val="60"/>
        </w:trPr>
        <w:tc>
          <w:tcPr>
            <w:tcW w:w="1170" w:type="dxa"/>
            <w:tcBorders>
              <w:top w:val="nil"/>
              <w:bottom w:val="single" w:sz="8" w:space="0" w:color="auto"/>
            </w:tcBorders>
            <w:shd w:val="clear" w:color="auto" w:fill="auto"/>
            <w:vAlign w:val="center"/>
            <w:hideMark/>
          </w:tcPr>
          <w:p w14:paraId="5E0DEB99"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Minor Injury</w:t>
            </w:r>
          </w:p>
        </w:tc>
        <w:tc>
          <w:tcPr>
            <w:tcW w:w="953" w:type="dxa"/>
            <w:tcBorders>
              <w:top w:val="nil"/>
              <w:bottom w:val="single" w:sz="8" w:space="0" w:color="auto"/>
            </w:tcBorders>
            <w:shd w:val="clear" w:color="auto" w:fill="auto"/>
            <w:vAlign w:val="center"/>
            <w:hideMark/>
          </w:tcPr>
          <w:p w14:paraId="57142D3D"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368</w:t>
            </w:r>
          </w:p>
        </w:tc>
        <w:tc>
          <w:tcPr>
            <w:tcW w:w="1134" w:type="dxa"/>
            <w:tcBorders>
              <w:top w:val="nil"/>
              <w:bottom w:val="single" w:sz="8" w:space="0" w:color="auto"/>
            </w:tcBorders>
            <w:shd w:val="clear" w:color="auto" w:fill="auto"/>
            <w:vAlign w:val="center"/>
            <w:hideMark/>
          </w:tcPr>
          <w:p w14:paraId="3C186323"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0.193394</w:t>
            </w:r>
          </w:p>
        </w:tc>
        <w:tc>
          <w:tcPr>
            <w:tcW w:w="1134" w:type="dxa"/>
            <w:tcBorders>
              <w:top w:val="nil"/>
              <w:bottom w:val="single" w:sz="8" w:space="0" w:color="auto"/>
            </w:tcBorders>
            <w:shd w:val="clear" w:color="auto" w:fill="auto"/>
            <w:vAlign w:val="center"/>
            <w:hideMark/>
          </w:tcPr>
          <w:p w14:paraId="0EA017B9"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0.846809</w:t>
            </w:r>
          </w:p>
        </w:tc>
        <w:tc>
          <w:tcPr>
            <w:tcW w:w="939" w:type="dxa"/>
            <w:tcBorders>
              <w:top w:val="nil"/>
              <w:bottom w:val="single" w:sz="8" w:space="0" w:color="auto"/>
            </w:tcBorders>
            <w:shd w:val="clear" w:color="auto" w:fill="auto"/>
            <w:vAlign w:val="center"/>
            <w:hideMark/>
          </w:tcPr>
          <w:p w14:paraId="2EBADE2A"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No</w:t>
            </w:r>
          </w:p>
        </w:tc>
        <w:tc>
          <w:tcPr>
            <w:tcW w:w="953" w:type="dxa"/>
            <w:tcBorders>
              <w:top w:val="nil"/>
              <w:bottom w:val="single" w:sz="8" w:space="0" w:color="auto"/>
            </w:tcBorders>
            <w:shd w:val="clear" w:color="auto" w:fill="auto"/>
            <w:vAlign w:val="center"/>
            <w:hideMark/>
          </w:tcPr>
          <w:p w14:paraId="51E9AF73"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363</w:t>
            </w:r>
          </w:p>
        </w:tc>
        <w:tc>
          <w:tcPr>
            <w:tcW w:w="1134" w:type="dxa"/>
            <w:tcBorders>
              <w:top w:val="nil"/>
              <w:bottom w:val="single" w:sz="8" w:space="0" w:color="auto"/>
            </w:tcBorders>
            <w:shd w:val="clear" w:color="auto" w:fill="auto"/>
            <w:vAlign w:val="center"/>
            <w:hideMark/>
          </w:tcPr>
          <w:p w14:paraId="0CFC9F7B"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0.259036</w:t>
            </w:r>
          </w:p>
        </w:tc>
        <w:tc>
          <w:tcPr>
            <w:tcW w:w="1134" w:type="dxa"/>
            <w:tcBorders>
              <w:top w:val="nil"/>
              <w:bottom w:val="single" w:sz="8" w:space="0" w:color="auto"/>
            </w:tcBorders>
            <w:shd w:val="clear" w:color="auto" w:fill="auto"/>
            <w:vAlign w:val="center"/>
            <w:hideMark/>
          </w:tcPr>
          <w:p w14:paraId="527ED6D9"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0.796058</w:t>
            </w:r>
          </w:p>
        </w:tc>
        <w:tc>
          <w:tcPr>
            <w:tcW w:w="939" w:type="dxa"/>
            <w:tcBorders>
              <w:top w:val="nil"/>
              <w:bottom w:val="single" w:sz="8" w:space="0" w:color="auto"/>
            </w:tcBorders>
            <w:shd w:val="clear" w:color="auto" w:fill="auto"/>
            <w:vAlign w:val="center"/>
            <w:hideMark/>
          </w:tcPr>
          <w:p w14:paraId="67052044" w14:textId="77777777" w:rsidR="009A4041" w:rsidRPr="009A4041" w:rsidRDefault="009A4041" w:rsidP="009A4041">
            <w:pPr>
              <w:spacing w:after="0" w:line="240" w:lineRule="auto"/>
              <w:jc w:val="center"/>
              <w:rPr>
                <w:rFonts w:ascii="Arial" w:eastAsia="等线" w:hAnsi="Arial" w:cs="Arial"/>
                <w:color w:val="000000"/>
                <w:lang w:eastAsia="zh-CN"/>
              </w:rPr>
            </w:pPr>
            <w:r w:rsidRPr="009A4041">
              <w:rPr>
                <w:rFonts w:ascii="Arial" w:eastAsia="等线" w:hAnsi="Arial" w:cs="Arial"/>
                <w:color w:val="000000"/>
                <w:lang w:eastAsia="zh-CN"/>
              </w:rPr>
              <w:t>No</w:t>
            </w:r>
          </w:p>
        </w:tc>
      </w:tr>
      <w:tr w:rsidR="00084AC8" w:rsidRPr="00084AC8" w14:paraId="654E1AA8" w14:textId="77777777" w:rsidTr="00642AF7">
        <w:trPr>
          <w:trHeight w:val="60"/>
        </w:trPr>
        <w:tc>
          <w:tcPr>
            <w:tcW w:w="9490" w:type="dxa"/>
            <w:gridSpan w:val="9"/>
            <w:tcBorders>
              <w:top w:val="single" w:sz="8" w:space="0" w:color="auto"/>
              <w:bottom w:val="nil"/>
            </w:tcBorders>
            <w:shd w:val="clear" w:color="auto" w:fill="auto"/>
            <w:vAlign w:val="center"/>
          </w:tcPr>
          <w:p w14:paraId="729F535D" w14:textId="7F3D443C" w:rsidR="00084AC8" w:rsidRPr="00084AC8" w:rsidRDefault="00084AC8" w:rsidP="00084AC8">
            <w:pPr>
              <w:spacing w:after="0" w:line="240" w:lineRule="auto"/>
              <w:rPr>
                <w:rFonts w:ascii="Arial" w:eastAsia="等线" w:hAnsi="Arial" w:cs="Arial" w:hint="eastAsia"/>
                <w:color w:val="000000"/>
                <w:lang w:eastAsia="zh-CN"/>
              </w:rPr>
            </w:pPr>
            <w:r w:rsidRPr="00084AC8">
              <w:rPr>
                <w:rFonts w:ascii="Arial" w:eastAsia="等线" w:hAnsi="Arial" w:cs="Arial" w:hint="eastAsia"/>
                <w:color w:val="000000"/>
                <w:sz w:val="15"/>
                <w:szCs w:val="15"/>
                <w:lang w:eastAsia="zh-CN"/>
              </w:rPr>
              <w:t>Major Injury</w:t>
            </w:r>
            <w:r>
              <w:rPr>
                <w:rFonts w:ascii="Arial" w:eastAsia="等线" w:hAnsi="Arial" w:cs="Arial" w:hint="eastAsia"/>
                <w:color w:val="000000"/>
                <w:sz w:val="15"/>
                <w:szCs w:val="15"/>
                <w:lang w:eastAsia="zh-CN"/>
              </w:rPr>
              <w:t>:</w:t>
            </w:r>
            <w:r>
              <w:rPr>
                <w:rFonts w:hint="eastAsia"/>
              </w:rPr>
              <w:t xml:space="preserve"> </w:t>
            </w:r>
            <w:r w:rsidRPr="00084AC8">
              <w:rPr>
                <w:rFonts w:ascii="Arial" w:eastAsia="等线" w:hAnsi="Arial" w:cs="Arial"/>
                <w:color w:val="000000"/>
                <w:sz w:val="15"/>
                <w:szCs w:val="15"/>
                <w:lang w:eastAsia="zh-CN"/>
              </w:rPr>
              <w:t>Injury Count</w:t>
            </w:r>
            <w:r>
              <w:rPr>
                <w:rFonts w:ascii="Arial" w:eastAsia="等线" w:hAnsi="Arial" w:cs="Arial" w:hint="eastAsia"/>
                <w:color w:val="000000"/>
                <w:sz w:val="15"/>
                <w:szCs w:val="15"/>
                <w:lang w:eastAsia="zh-CN"/>
              </w:rPr>
              <w:t xml:space="preserve"> &gt;100</w:t>
            </w:r>
          </w:p>
        </w:tc>
      </w:tr>
    </w:tbl>
    <w:p w14:paraId="0D31ACA2" w14:textId="77777777" w:rsidR="00084AC8" w:rsidRDefault="00084AC8" w:rsidP="00830A7B">
      <w:pPr>
        <w:spacing w:after="220"/>
        <w:rPr>
          <w:rFonts w:ascii="Arial" w:hAnsi="Arial" w:cs="Arial"/>
          <w:lang w:eastAsia="zh-CN"/>
        </w:rPr>
      </w:pPr>
    </w:p>
    <w:p w14:paraId="5D38BF3F" w14:textId="5AEB3A8A" w:rsidR="00830A7B" w:rsidRPr="00830A7B" w:rsidRDefault="00830A7B" w:rsidP="00830A7B">
      <w:pPr>
        <w:spacing w:after="220"/>
        <w:rPr>
          <w:rFonts w:ascii="Arial" w:hAnsi="Arial" w:cs="Arial" w:hint="eastAsia"/>
          <w:lang w:eastAsia="zh-CN"/>
        </w:rPr>
      </w:pPr>
      <w:r>
        <w:rPr>
          <w:rFonts w:ascii="Arial" w:hAnsi="Arial" w:cs="Arial" w:hint="eastAsia"/>
          <w:lang w:eastAsia="zh-CN"/>
        </w:rPr>
        <w:lastRenderedPageBreak/>
        <w:t>Using our result, we see that i</w:t>
      </w:r>
      <w:r w:rsidRPr="00830A7B">
        <w:rPr>
          <w:rFonts w:ascii="Arial" w:hAnsi="Arial" w:cs="Arial"/>
          <w:lang w:eastAsia="zh-CN"/>
        </w:rPr>
        <w:t>n analyzing the short-term impact of aviation incidents on competitor stock performance, only two scenarios show statistically significant effects: Airbus major injury events positively impact Boeing stock, suggesting investors shift confidence toward Boeing after serious Airbus safety incidents, while Airbus occurrences surprisingly harm Boeing stock, potentially reflecting industry-wide regulatory concerns. All other incidents</w:t>
      </w:r>
      <w:r>
        <w:rPr>
          <w:rFonts w:ascii="Arial" w:hAnsi="Arial" w:cs="Arial" w:hint="eastAsia"/>
          <w:lang w:eastAsia="zh-CN"/>
        </w:rPr>
        <w:t xml:space="preserve"> </w:t>
      </w:r>
      <w:r w:rsidRPr="00830A7B">
        <w:rPr>
          <w:rFonts w:ascii="Arial" w:hAnsi="Arial" w:cs="Arial"/>
          <w:lang w:eastAsia="zh-CN"/>
        </w:rPr>
        <w:t>show minimal statistical significance, indicating that most aviation incidents are perceived as company-specific with limited competitive consequences in the commercial aircraft market.</w:t>
      </w:r>
    </w:p>
    <w:p w14:paraId="5585481A" w14:textId="37185CE9" w:rsidR="00084AC8" w:rsidRDefault="00084AC8">
      <w:pPr>
        <w:spacing w:after="220"/>
        <w:rPr>
          <w:rFonts w:ascii="Arial" w:hAnsi="Arial" w:cs="Arial" w:hint="eastAsia"/>
          <w:lang w:eastAsia="zh-CN"/>
        </w:rPr>
      </w:pPr>
      <w:r w:rsidRPr="00084AC8">
        <w:rPr>
          <w:rFonts w:ascii="Arial" w:hAnsi="Arial" w:cs="Arial"/>
          <w:lang w:eastAsia="zh-CN"/>
        </w:rPr>
        <w:t>However, the small sample sizes in these significant categories</w:t>
      </w:r>
      <w:r>
        <w:rPr>
          <w:rFonts w:ascii="Arial" w:hAnsi="Arial" w:cs="Arial" w:hint="eastAsia"/>
          <w:lang w:eastAsia="zh-CN"/>
        </w:rPr>
        <w:t xml:space="preserve">, </w:t>
      </w:r>
      <w:r w:rsidRPr="00084AC8">
        <w:rPr>
          <w:rFonts w:ascii="Arial" w:hAnsi="Arial" w:cs="Arial"/>
          <w:lang w:eastAsia="zh-CN"/>
        </w:rPr>
        <w:t>only 6 occurrences and 3 major injury events</w:t>
      </w:r>
      <w:r>
        <w:rPr>
          <w:rFonts w:ascii="Arial" w:hAnsi="Arial" w:cs="Arial" w:hint="eastAsia"/>
          <w:lang w:eastAsia="zh-CN"/>
        </w:rPr>
        <w:t xml:space="preserve">, </w:t>
      </w:r>
      <w:r w:rsidRPr="00084AC8">
        <w:rPr>
          <w:rFonts w:ascii="Arial" w:hAnsi="Arial" w:cs="Arial"/>
          <w:lang w:eastAsia="zh-CN"/>
        </w:rPr>
        <w:t xml:space="preserve">raise questions about the robustness of these findings. To further </w:t>
      </w:r>
      <w:proofErr w:type="gramStart"/>
      <w:r w:rsidRPr="00084AC8">
        <w:rPr>
          <w:rFonts w:ascii="Arial" w:hAnsi="Arial" w:cs="Arial"/>
          <w:lang w:eastAsia="zh-CN"/>
        </w:rPr>
        <w:t>validate</w:t>
      </w:r>
      <w:proofErr w:type="gramEnd"/>
      <w:r w:rsidRPr="00084AC8">
        <w:rPr>
          <w:rFonts w:ascii="Arial" w:hAnsi="Arial" w:cs="Arial"/>
          <w:lang w:eastAsia="zh-CN"/>
        </w:rPr>
        <w:t xml:space="preserve"> these potential spillover effects, we examined the significan</w:t>
      </w:r>
      <w:r>
        <w:rPr>
          <w:rFonts w:ascii="Arial" w:hAnsi="Arial" w:cs="Arial" w:hint="eastAsia"/>
          <w:lang w:eastAsia="zh-CN"/>
        </w:rPr>
        <w:t>ce of CAR.</w:t>
      </w:r>
    </w:p>
    <w:p w14:paraId="2F9F3D88" w14:textId="77777777" w:rsidR="00084AC8" w:rsidRPr="00084AC8" w:rsidRDefault="00084AC8" w:rsidP="00084AC8">
      <w:pPr>
        <w:rPr>
          <w:rFonts w:ascii="Arial" w:hAnsi="Arial" w:cs="Arial"/>
        </w:rPr>
      </w:pPr>
      <w:r w:rsidRPr="00084AC8">
        <w:rPr>
          <w:rFonts w:ascii="Arial" w:hAnsi="Arial" w:cs="Arial"/>
        </w:rPr>
        <w:t>Two directions of spillover are considered: (1) the effect of Boeing incidents on Airbus stock and (2) the effect of Airbus incidents on Boeing stock. For each direction, CARs are aligned by relative event day and averaged across all available events. To capture uncertainty, standard errors are computed and used to produce ±1 SE confidence bands. Daily one-sample t-tests are conducted to assess whether mean CARs differ significantly from zero, with statistically significant results (p &lt; 0.05) highlighted in red.</w:t>
      </w:r>
    </w:p>
    <w:p w14:paraId="0B0850B1" w14:textId="0523FE3D" w:rsidR="00084AC8" w:rsidRPr="00084AC8" w:rsidRDefault="00084AC8" w:rsidP="00084AC8">
      <w:pPr>
        <w:rPr>
          <w:rFonts w:ascii="Arial" w:hAnsi="Arial" w:cs="Arial"/>
          <w:b/>
          <w:bCs/>
        </w:rPr>
      </w:pPr>
    </w:p>
    <w:p w14:paraId="590C5850" w14:textId="61D5C835" w:rsidR="00084AC8" w:rsidRPr="00084AC8" w:rsidRDefault="00084AC8" w:rsidP="00084AC8">
      <w:pPr>
        <w:rPr>
          <w:rFonts w:ascii="Arial" w:hAnsi="Arial" w:cs="Arial"/>
        </w:rPr>
      </w:pPr>
      <w:r w:rsidRPr="00084AC8">
        <w:rPr>
          <w:rFonts w:ascii="Arial" w:hAnsi="Arial" w:cs="Arial"/>
          <w:noProof/>
        </w:rPr>
        <w:drawing>
          <wp:anchor distT="0" distB="0" distL="114300" distR="114300" simplePos="0" relativeHeight="251660288" behindDoc="0" locked="0" layoutInCell="1" allowOverlap="1" wp14:anchorId="714A7712" wp14:editId="39B33696">
            <wp:simplePos x="0" y="0"/>
            <wp:positionH relativeFrom="column">
              <wp:posOffset>1187450</wp:posOffset>
            </wp:positionH>
            <wp:positionV relativeFrom="paragraph">
              <wp:posOffset>546735</wp:posOffset>
            </wp:positionV>
            <wp:extent cx="2914650" cy="1748790"/>
            <wp:effectExtent l="0" t="0" r="0" b="3810"/>
            <wp:wrapTopAndBottom/>
            <wp:docPr id="490865252"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65252" name="图片 1" descr="图表, 折线图&#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4650" cy="1748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4AC8">
        <w:rPr>
          <w:rFonts w:ascii="Arial" w:hAnsi="Arial" w:cs="Arial"/>
        </w:rPr>
        <w:t xml:space="preserve">The panel below visualizes the cumulative abnormal returns across both directions. The orange line represents the effect of Boeing-related incidents on Airbus stock, while the blue line corresponds to Airbus incidents affecting Boeing stock. </w:t>
      </w:r>
    </w:p>
    <w:p w14:paraId="49A4CFE0" w14:textId="77777777" w:rsidR="00084AC8" w:rsidRPr="00084AC8" w:rsidRDefault="00084AC8" w:rsidP="00084AC8">
      <w:pPr>
        <w:rPr>
          <w:rFonts w:ascii="Arial" w:hAnsi="Arial" w:cs="Arial"/>
        </w:rPr>
      </w:pPr>
      <w:r w:rsidRPr="00084AC8">
        <w:rPr>
          <w:rFonts w:ascii="Arial" w:hAnsi="Arial" w:cs="Arial"/>
        </w:rPr>
        <w:t xml:space="preserve">For most of the event window, CARs in both directions remain close to zero, showing minimal evidence of persistent spillover. However, in the Boeing → Airbus case, a sharp spike appears </w:t>
      </w:r>
      <w:proofErr w:type="gramStart"/>
      <w:r w:rsidRPr="00084AC8">
        <w:rPr>
          <w:rFonts w:ascii="Arial" w:hAnsi="Arial" w:cs="Arial"/>
        </w:rPr>
        <w:t>at</w:t>
      </w:r>
      <w:proofErr w:type="gramEnd"/>
      <w:r w:rsidRPr="00084AC8">
        <w:rPr>
          <w:rFonts w:ascii="Arial" w:hAnsi="Arial" w:cs="Arial"/>
        </w:rPr>
        <w:t xml:space="preserve"> day +10, which is statistically significant. This jump is not observed on neighboring days and lacks corroborating trends, suggesting it may stem from calendar-related alignment issues such as weekend gaps, data sparsity, or skewed distribution of events. Given the sample size difference—over 1,300 Boeing events vs. under 300 Airbus events—the precision of estimates may also be affected.</w:t>
      </w:r>
    </w:p>
    <w:p w14:paraId="52C7A3E8" w14:textId="77777777" w:rsidR="00084AC8" w:rsidRPr="00084AC8" w:rsidRDefault="00084AC8" w:rsidP="00084AC8">
      <w:pPr>
        <w:rPr>
          <w:rFonts w:ascii="Arial" w:hAnsi="Arial" w:cs="Arial"/>
        </w:rPr>
      </w:pPr>
      <w:r w:rsidRPr="00084AC8">
        <w:rPr>
          <w:rFonts w:ascii="Arial" w:hAnsi="Arial" w:cs="Arial"/>
        </w:rPr>
        <w:t>The second chart below focuses on the effect of Airbus incidents on Boeing stock.</w:t>
      </w:r>
    </w:p>
    <w:p w14:paraId="4FE7EBD3" w14:textId="77777777" w:rsidR="00084AC8" w:rsidRDefault="00084AC8" w:rsidP="00084AC8">
      <w:pPr>
        <w:rPr>
          <w:rFonts w:ascii="Arial" w:hAnsi="Arial" w:cs="Arial"/>
        </w:rPr>
      </w:pPr>
      <w:r w:rsidRPr="00084AC8">
        <w:rPr>
          <w:rFonts w:ascii="Arial" w:hAnsi="Arial" w:cs="Arial"/>
        </w:rPr>
        <w:t>The trajectory is smooth, and no days exhibit statistical significance. This supports the view that the market largely treats Airbus incidents as isolated firm-specific events without broader competitive implications for Boeing.</w:t>
      </w:r>
    </w:p>
    <w:p w14:paraId="0F4ED0C0" w14:textId="5F72D823" w:rsidR="00084AC8" w:rsidRPr="00084AC8" w:rsidRDefault="00084AC8" w:rsidP="00084AC8">
      <w:pPr>
        <w:rPr>
          <w:rFonts w:ascii="Arial" w:hAnsi="Arial" w:cs="Arial" w:hint="eastAsia"/>
          <w:lang w:eastAsia="zh-CN"/>
        </w:rPr>
      </w:pPr>
      <w:r w:rsidRPr="00084AC8">
        <w:rPr>
          <w:rFonts w:ascii="Arial" w:hAnsi="Arial" w:cs="Arial"/>
          <w:noProof/>
        </w:rPr>
        <w:lastRenderedPageBreak/>
        <w:drawing>
          <wp:anchor distT="0" distB="0" distL="114300" distR="114300" simplePos="0" relativeHeight="251659264" behindDoc="1" locked="0" layoutInCell="1" allowOverlap="1" wp14:anchorId="09A576D9" wp14:editId="343D9613">
            <wp:simplePos x="0" y="0"/>
            <wp:positionH relativeFrom="page">
              <wp:align>right</wp:align>
            </wp:positionH>
            <wp:positionV relativeFrom="paragraph">
              <wp:posOffset>-402590</wp:posOffset>
            </wp:positionV>
            <wp:extent cx="3657600" cy="1828800"/>
            <wp:effectExtent l="0" t="0" r="0" b="0"/>
            <wp:wrapTopAndBottom/>
            <wp:docPr id="1467974386" name="图片 3"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74386" name="图片 3" descr="图表, 折线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4AC8">
        <w:rPr>
          <w:rFonts w:ascii="Arial" w:hAnsi="Arial" w:cs="Arial"/>
          <w:noProof/>
        </w:rPr>
        <w:drawing>
          <wp:anchor distT="0" distB="0" distL="114300" distR="114300" simplePos="0" relativeHeight="251658240" behindDoc="1" locked="0" layoutInCell="1" allowOverlap="1" wp14:anchorId="796508AA" wp14:editId="4282EFFD">
            <wp:simplePos x="0" y="0"/>
            <wp:positionH relativeFrom="column">
              <wp:posOffset>-990600</wp:posOffset>
            </wp:positionH>
            <wp:positionV relativeFrom="paragraph">
              <wp:posOffset>0</wp:posOffset>
            </wp:positionV>
            <wp:extent cx="3606800" cy="1803400"/>
            <wp:effectExtent l="0" t="0" r="0" b="6350"/>
            <wp:wrapTopAndBottom/>
            <wp:docPr id="720151509" name="图片 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51509" name="图片 2" descr="图表, 折线图&#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6800" cy="180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B1A15" w14:textId="7479C642" w:rsidR="00084AC8" w:rsidRPr="00084AC8" w:rsidRDefault="00084AC8" w:rsidP="00084AC8">
      <w:pPr>
        <w:rPr>
          <w:rFonts w:ascii="Arial" w:hAnsi="Arial" w:cs="Arial"/>
        </w:rPr>
      </w:pPr>
      <w:r w:rsidRPr="00084AC8">
        <w:rPr>
          <w:rFonts w:ascii="Arial" w:hAnsi="Arial" w:cs="Arial"/>
        </w:rPr>
        <w:t>The third chart shows the Boeing incidents’ effect on Airbus stock.</w:t>
      </w:r>
    </w:p>
    <w:p w14:paraId="08148AA6" w14:textId="77777777" w:rsidR="00084AC8" w:rsidRPr="00084AC8" w:rsidRDefault="00084AC8" w:rsidP="00084AC8">
      <w:pPr>
        <w:rPr>
          <w:rFonts w:ascii="Arial" w:hAnsi="Arial" w:cs="Arial"/>
        </w:rPr>
      </w:pPr>
      <w:r w:rsidRPr="00084AC8">
        <w:rPr>
          <w:rFonts w:ascii="Arial" w:hAnsi="Arial" w:cs="Arial"/>
        </w:rPr>
        <w:t xml:space="preserve">Here, a noticeable positive spike occurs </w:t>
      </w:r>
      <w:proofErr w:type="gramStart"/>
      <w:r w:rsidRPr="00084AC8">
        <w:rPr>
          <w:rFonts w:ascii="Arial" w:hAnsi="Arial" w:cs="Arial"/>
        </w:rPr>
        <w:t>at</w:t>
      </w:r>
      <w:proofErr w:type="gramEnd"/>
      <w:r w:rsidRPr="00084AC8">
        <w:rPr>
          <w:rFonts w:ascii="Arial" w:hAnsi="Arial" w:cs="Arial"/>
        </w:rPr>
        <w:t xml:space="preserve"> day +10, which passes the 5% significance threshold. However, no other day shows a comparable response, raising doubts about the consistency or robustness of this result. The spike may be due </w:t>
      </w:r>
      <w:proofErr w:type="gramStart"/>
      <w:r w:rsidRPr="00084AC8">
        <w:rPr>
          <w:rFonts w:ascii="Arial" w:hAnsi="Arial" w:cs="Arial"/>
        </w:rPr>
        <w:t>to event</w:t>
      </w:r>
      <w:proofErr w:type="gramEnd"/>
      <w:r w:rsidRPr="00084AC8">
        <w:rPr>
          <w:rFonts w:ascii="Arial" w:hAnsi="Arial" w:cs="Arial"/>
        </w:rPr>
        <w:t xml:space="preserve"> misalignment rather than a genuine delayed reaction.</w:t>
      </w:r>
    </w:p>
    <w:p w14:paraId="1717AED1" w14:textId="385AD868" w:rsidR="00084AC8" w:rsidRPr="00084AC8" w:rsidRDefault="00084AC8" w:rsidP="00084AC8">
      <w:pPr>
        <w:rPr>
          <w:rFonts w:ascii="Arial" w:hAnsi="Arial" w:cs="Arial"/>
        </w:rPr>
      </w:pPr>
      <w:r w:rsidRPr="00084AC8">
        <w:rPr>
          <w:rFonts w:ascii="Arial" w:hAnsi="Arial" w:cs="Arial"/>
        </w:rPr>
        <w:t xml:space="preserve"> </w:t>
      </w:r>
    </w:p>
    <w:p w14:paraId="029A375C" w14:textId="77777777" w:rsidR="00084AC8" w:rsidRPr="00084AC8" w:rsidRDefault="00084AC8" w:rsidP="00084AC8">
      <w:pPr>
        <w:rPr>
          <w:rFonts w:ascii="Arial" w:hAnsi="Arial" w:cs="Arial"/>
        </w:rPr>
      </w:pPr>
      <w:r w:rsidRPr="00084AC8">
        <w:rPr>
          <w:rFonts w:ascii="Arial" w:hAnsi="Arial" w:cs="Arial"/>
        </w:rPr>
        <w:t>In conclusion, the updated results again indicate that abnormal return reactions in a competitor’s stock are limited in scope. The statistically significant spike on day +10 following Boeing incidents should be interpreted with caution. Further refinements—such as filtering for trading days, adjusting event alignment, or applying rolling windows—may help clarify whether this effect is systematic or driven by noise.</w:t>
      </w:r>
    </w:p>
    <w:p w14:paraId="30D32781" w14:textId="77777777" w:rsidR="00084AC8" w:rsidRPr="00084AC8" w:rsidRDefault="00084AC8">
      <w:pPr>
        <w:spacing w:after="220"/>
        <w:rPr>
          <w:rFonts w:ascii="Arial" w:hAnsi="Arial" w:cs="Arial"/>
          <w:lang w:eastAsia="zh-CN"/>
        </w:rPr>
      </w:pPr>
    </w:p>
    <w:sectPr w:rsidR="00084AC8" w:rsidRPr="00084AC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F03A7"/>
    <w:multiLevelType w:val="hybridMultilevel"/>
    <w:tmpl w:val="ADA05790"/>
    <w:lvl w:ilvl="0" w:tplc="AB0C5A56">
      <w:start w:val="1"/>
      <w:numFmt w:val="bullet"/>
      <w:lvlText w:val=""/>
      <w:lvlJc w:val="left"/>
      <w:pPr>
        <w:tabs>
          <w:tab w:val="num" w:pos="1080"/>
        </w:tabs>
        <w:ind w:left="720" w:hanging="360"/>
      </w:pPr>
      <w:rPr>
        <w:rFonts w:ascii="Symbol" w:hAnsi="Symbol" w:hint="default"/>
      </w:rPr>
    </w:lvl>
    <w:lvl w:ilvl="1" w:tplc="EAF447C4">
      <w:numFmt w:val="decimal"/>
      <w:lvlText w:val=""/>
      <w:lvlJc w:val="left"/>
    </w:lvl>
    <w:lvl w:ilvl="2" w:tplc="AD44C038">
      <w:numFmt w:val="decimal"/>
      <w:lvlText w:val=""/>
      <w:lvlJc w:val="left"/>
    </w:lvl>
    <w:lvl w:ilvl="3" w:tplc="B60ECC76">
      <w:numFmt w:val="decimal"/>
      <w:lvlText w:val=""/>
      <w:lvlJc w:val="left"/>
    </w:lvl>
    <w:lvl w:ilvl="4" w:tplc="70169016">
      <w:numFmt w:val="decimal"/>
      <w:lvlText w:val=""/>
      <w:lvlJc w:val="left"/>
    </w:lvl>
    <w:lvl w:ilvl="5" w:tplc="3ECCA20C">
      <w:numFmt w:val="decimal"/>
      <w:lvlText w:val=""/>
      <w:lvlJc w:val="left"/>
    </w:lvl>
    <w:lvl w:ilvl="6" w:tplc="1450B680">
      <w:numFmt w:val="decimal"/>
      <w:lvlText w:val=""/>
      <w:lvlJc w:val="left"/>
    </w:lvl>
    <w:lvl w:ilvl="7" w:tplc="E6225790">
      <w:numFmt w:val="decimal"/>
      <w:lvlText w:val=""/>
      <w:lvlJc w:val="left"/>
    </w:lvl>
    <w:lvl w:ilvl="8" w:tplc="98487A3A">
      <w:numFmt w:val="decimal"/>
      <w:lvlText w:val=""/>
      <w:lvlJc w:val="left"/>
    </w:lvl>
  </w:abstractNum>
  <w:abstractNum w:abstractNumId="1" w15:restartNumberingAfterBreak="0">
    <w:nsid w:val="3A7F48EC"/>
    <w:multiLevelType w:val="hybridMultilevel"/>
    <w:tmpl w:val="8BB055A6"/>
    <w:lvl w:ilvl="0" w:tplc="1578EC06">
      <w:start w:val="1"/>
      <w:numFmt w:val="bullet"/>
      <w:lvlText w:val=""/>
      <w:lvlJc w:val="left"/>
      <w:pPr>
        <w:tabs>
          <w:tab w:val="num" w:pos="1080"/>
        </w:tabs>
        <w:ind w:left="720" w:hanging="360"/>
      </w:pPr>
      <w:rPr>
        <w:rFonts w:ascii="Symbol" w:hAnsi="Symbol" w:hint="default"/>
      </w:rPr>
    </w:lvl>
    <w:lvl w:ilvl="1" w:tplc="6B0ACF00">
      <w:numFmt w:val="decimal"/>
      <w:lvlText w:val=""/>
      <w:lvlJc w:val="left"/>
    </w:lvl>
    <w:lvl w:ilvl="2" w:tplc="EDD6F2E4">
      <w:numFmt w:val="decimal"/>
      <w:lvlText w:val=""/>
      <w:lvlJc w:val="left"/>
    </w:lvl>
    <w:lvl w:ilvl="3" w:tplc="9ADC9796">
      <w:numFmt w:val="decimal"/>
      <w:lvlText w:val=""/>
      <w:lvlJc w:val="left"/>
    </w:lvl>
    <w:lvl w:ilvl="4" w:tplc="ECAACF58">
      <w:numFmt w:val="decimal"/>
      <w:lvlText w:val=""/>
      <w:lvlJc w:val="left"/>
    </w:lvl>
    <w:lvl w:ilvl="5" w:tplc="E66670D2">
      <w:numFmt w:val="decimal"/>
      <w:lvlText w:val=""/>
      <w:lvlJc w:val="left"/>
    </w:lvl>
    <w:lvl w:ilvl="6" w:tplc="BBEA9E92">
      <w:numFmt w:val="decimal"/>
      <w:lvlText w:val=""/>
      <w:lvlJc w:val="left"/>
    </w:lvl>
    <w:lvl w:ilvl="7" w:tplc="C01C70FE">
      <w:numFmt w:val="decimal"/>
      <w:lvlText w:val=""/>
      <w:lvlJc w:val="left"/>
    </w:lvl>
    <w:lvl w:ilvl="8" w:tplc="42B6D2C0">
      <w:numFmt w:val="decimal"/>
      <w:lvlText w:val=""/>
      <w:lvlJc w:val="left"/>
    </w:lvl>
  </w:abstractNum>
  <w:abstractNum w:abstractNumId="2" w15:restartNumberingAfterBreak="0">
    <w:nsid w:val="49296DDF"/>
    <w:multiLevelType w:val="hybridMultilevel"/>
    <w:tmpl w:val="B9326358"/>
    <w:lvl w:ilvl="0" w:tplc="A1303EE2">
      <w:start w:val="1"/>
      <w:numFmt w:val="bullet"/>
      <w:lvlText w:val=""/>
      <w:lvlJc w:val="left"/>
      <w:pPr>
        <w:tabs>
          <w:tab w:val="num" w:pos="1080"/>
        </w:tabs>
        <w:ind w:left="720" w:hanging="360"/>
      </w:pPr>
      <w:rPr>
        <w:rFonts w:ascii="Symbol" w:hAnsi="Symbol" w:hint="default"/>
      </w:rPr>
    </w:lvl>
    <w:lvl w:ilvl="1" w:tplc="D3EA46B2">
      <w:numFmt w:val="decimal"/>
      <w:lvlText w:val=""/>
      <w:lvlJc w:val="left"/>
    </w:lvl>
    <w:lvl w:ilvl="2" w:tplc="7C506B12">
      <w:numFmt w:val="decimal"/>
      <w:lvlText w:val=""/>
      <w:lvlJc w:val="left"/>
    </w:lvl>
    <w:lvl w:ilvl="3" w:tplc="F2008512">
      <w:numFmt w:val="decimal"/>
      <w:lvlText w:val=""/>
      <w:lvlJc w:val="left"/>
    </w:lvl>
    <w:lvl w:ilvl="4" w:tplc="A2BA3B4A">
      <w:numFmt w:val="decimal"/>
      <w:lvlText w:val=""/>
      <w:lvlJc w:val="left"/>
    </w:lvl>
    <w:lvl w:ilvl="5" w:tplc="E6142D68">
      <w:numFmt w:val="decimal"/>
      <w:lvlText w:val=""/>
      <w:lvlJc w:val="left"/>
    </w:lvl>
    <w:lvl w:ilvl="6" w:tplc="3D066C6E">
      <w:numFmt w:val="decimal"/>
      <w:lvlText w:val=""/>
      <w:lvlJc w:val="left"/>
    </w:lvl>
    <w:lvl w:ilvl="7" w:tplc="339E7AA8">
      <w:numFmt w:val="decimal"/>
      <w:lvlText w:val=""/>
      <w:lvlJc w:val="left"/>
    </w:lvl>
    <w:lvl w:ilvl="8" w:tplc="FF02966A">
      <w:numFmt w:val="decimal"/>
      <w:lvlText w:val=""/>
      <w:lvlJc w:val="left"/>
    </w:lvl>
  </w:abstractNum>
  <w:num w:numId="1" w16cid:durableId="940526920">
    <w:abstractNumId w:val="0"/>
  </w:num>
  <w:num w:numId="2" w16cid:durableId="423259674">
    <w:abstractNumId w:val="1"/>
  </w:num>
  <w:num w:numId="3" w16cid:durableId="145012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F7E"/>
    <w:rsid w:val="00084AC8"/>
    <w:rsid w:val="001E3B3C"/>
    <w:rsid w:val="00444492"/>
    <w:rsid w:val="00502F7E"/>
    <w:rsid w:val="00594987"/>
    <w:rsid w:val="005D5FDC"/>
    <w:rsid w:val="00830A7B"/>
    <w:rsid w:val="00895B79"/>
    <w:rsid w:val="009A4041"/>
    <w:rsid w:val="00BF1793"/>
    <w:rsid w:val="00C81EE8"/>
    <w:rsid w:val="00CA7AC6"/>
    <w:rsid w:val="00CD0EC0"/>
    <w:rsid w:val="00D50B2A"/>
    <w:rsid w:val="00F27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9508"/>
  <w15:docId w15:val="{2486D441-44CE-47DC-B636-3B47ED2F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 w:type="character" w:styleId="a3">
    <w:name w:val="Placeholder Text"/>
    <w:basedOn w:val="a0"/>
    <w:uiPriority w:val="99"/>
    <w:semiHidden/>
    <w:rsid w:val="00BF1793"/>
    <w:rPr>
      <w:color w:val="666666"/>
    </w:rPr>
  </w:style>
  <w:style w:type="table" w:styleId="a4">
    <w:name w:val="Table Grid"/>
    <w:basedOn w:val="a1"/>
    <w:uiPriority w:val="39"/>
    <w:rsid w:val="00CA7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518147">
      <w:bodyDiv w:val="1"/>
      <w:marLeft w:val="0"/>
      <w:marRight w:val="0"/>
      <w:marTop w:val="0"/>
      <w:marBottom w:val="0"/>
      <w:divBdr>
        <w:top w:val="none" w:sz="0" w:space="0" w:color="auto"/>
        <w:left w:val="none" w:sz="0" w:space="0" w:color="auto"/>
        <w:bottom w:val="none" w:sz="0" w:space="0" w:color="auto"/>
        <w:right w:val="none" w:sz="0" w:space="0" w:color="auto"/>
      </w:divBdr>
    </w:div>
    <w:div w:id="574441727">
      <w:bodyDiv w:val="1"/>
      <w:marLeft w:val="0"/>
      <w:marRight w:val="0"/>
      <w:marTop w:val="0"/>
      <w:marBottom w:val="0"/>
      <w:divBdr>
        <w:top w:val="none" w:sz="0" w:space="0" w:color="auto"/>
        <w:left w:val="none" w:sz="0" w:space="0" w:color="auto"/>
        <w:bottom w:val="none" w:sz="0" w:space="0" w:color="auto"/>
        <w:right w:val="none" w:sz="0" w:space="0" w:color="auto"/>
      </w:divBdr>
    </w:div>
    <w:div w:id="1052770327">
      <w:bodyDiv w:val="1"/>
      <w:marLeft w:val="0"/>
      <w:marRight w:val="0"/>
      <w:marTop w:val="0"/>
      <w:marBottom w:val="0"/>
      <w:divBdr>
        <w:top w:val="none" w:sz="0" w:space="0" w:color="auto"/>
        <w:left w:val="none" w:sz="0" w:space="0" w:color="auto"/>
        <w:bottom w:val="none" w:sz="0" w:space="0" w:color="auto"/>
        <w:right w:val="none" w:sz="0" w:space="0" w:color="auto"/>
      </w:divBdr>
    </w:div>
    <w:div w:id="1260991662">
      <w:bodyDiv w:val="1"/>
      <w:marLeft w:val="0"/>
      <w:marRight w:val="0"/>
      <w:marTop w:val="0"/>
      <w:marBottom w:val="0"/>
      <w:divBdr>
        <w:top w:val="none" w:sz="0" w:space="0" w:color="auto"/>
        <w:left w:val="none" w:sz="0" w:space="0" w:color="auto"/>
        <w:bottom w:val="none" w:sz="0" w:space="0" w:color="auto"/>
        <w:right w:val="none" w:sz="0" w:space="0" w:color="auto"/>
      </w:divBdr>
    </w:div>
    <w:div w:id="1835729024">
      <w:bodyDiv w:val="1"/>
      <w:marLeft w:val="0"/>
      <w:marRight w:val="0"/>
      <w:marTop w:val="0"/>
      <w:marBottom w:val="0"/>
      <w:divBdr>
        <w:top w:val="none" w:sz="0" w:space="0" w:color="auto"/>
        <w:left w:val="none" w:sz="0" w:space="0" w:color="auto"/>
        <w:bottom w:val="none" w:sz="0" w:space="0" w:color="auto"/>
        <w:right w:val="none" w:sz="0" w:space="0" w:color="auto"/>
      </w:divBdr>
    </w:div>
    <w:div w:id="1841769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mz3088</cp:lastModifiedBy>
  <cp:revision>2</cp:revision>
  <dcterms:created xsi:type="dcterms:W3CDTF">2025-05-09T01:38:00Z</dcterms:created>
  <dcterms:modified xsi:type="dcterms:W3CDTF">2025-05-09T01:38:00Z</dcterms:modified>
</cp:coreProperties>
</file>