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CENTRAL — Companhia Estadual de Engenharia de Transportes e Logística</w:t>
      </w:r>
    </w:p>
    <w:p>
      <w:pPr>
        <w:spacing w:after="60"/>
      </w:pPr>
      <w:r>
        <w:rPr>
          <w:rFonts w:ascii="Arial" w:cs="Arial" w:eastAsia="Arial" w:hAnsi="Arial"/>
          <w:color w:val="2F5496"/>
          <w:sz w:val="22"/>
          <w:szCs w:val="22"/>
        </w:rPr>
        <w:t xml:space="preserve">Avaliação de Conformidade Normativa  —  Etapa 1: Estatuto Social × Hierarquia Superior</w:t>
      </w: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Regime aplicável: Empresa de Menor Porte (ROB &lt; R$ 90 milhões)  |  Decreto 46.188/2017, arts. 49–55</w:t>
      </w:r>
    </w:p>
    <w:p>
      <w:pPr>
        <w:pBdr>
          <w:bottom w:val="single" w:color="1A3A5C" w:sz="6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1. Escopo e metodologia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Esta avaliação analisa o Estatuto Social da CENTRAL (aprovado em 11/11/2024, arquivado na JUCERJA em 22/05/2025) frente à hierarquia normativa superior aplicável: Lei 13.303/2016 (com alterações da Lei 15.177/2025), Lei 15.177/2025, Lei 14.611/2023, Lei 12.353/2010 e Decreto Estadual 46.188/2017 (com alterações dos Decretos 49.058, 49.394, 49.406 e 49.536). Foram aplicados três testes: Legalidade, Completude e Atualização.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Apresentam-se abaixo apenas os achados que requerem ação — Não Conformidades Críticas, Não Conformes e Conformes com Ressalva. Os 6 itens classificados como Conforme foram suprimidos desta versão.</w:t>
      </w:r>
    </w:p>
    <w:p>
      <w:pPr>
        <w:pStyle w:val="Heading1"/>
      </w:pPr>
      <w:r>
        <w:rPr>
          <w:rFonts w:ascii="Arial" w:cs="Arial" w:eastAsia="Arial" w:hAnsi="Arial"/>
        </w:rPr>
        <w:t xml:space="preserve">2. Sumário dos achados</w:t>
      </w:r>
    </w:p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00"/>
        <w:gridCol w:w="1600"/>
        <w:gridCol w:w="1600"/>
      </w:tblGrid>
      <w:tr>
        <w:trPr>
          <w:tblHeader/>
        </w:trP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5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Dispositivo / Lacuna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Criticidade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8"/>
                <w:szCs w:val="18"/>
              </w:rPr>
              <w:t xml:space="preserve">A-01</w:t>
            </w:r>
          </w:p>
        </w:tc>
        <w:tc>
          <w:tcPr>
            <w:tcW w:type="dxa" w:w="5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Omissão — o Estatuto não contém nenhuma previsão sobre cota mínima de gênero no Conselho de Administração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D5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0000"/>
                <w:sz w:val="18"/>
                <w:szCs w:val="18"/>
              </w:rPr>
              <w:t xml:space="preserve">Crítica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8"/>
                <w:szCs w:val="18"/>
              </w:rPr>
              <w:t xml:space="preserve">A-02</w:t>
            </w:r>
          </w:p>
        </w:tc>
        <w:tc>
          <w:tcPr>
            <w:tcW w:type="dxa" w:w="5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Omissão — o Estatuto não prevê entre os requisitos de transparência a divulgação anual da política de igualdade de gênero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8"/>
                <w:szCs w:val="18"/>
              </w:rPr>
              <w:t xml:space="preserve">A-03</w:t>
            </w:r>
          </w:p>
        </w:tc>
        <w:tc>
          <w:tcPr>
            <w:tcW w:type="dxa" w:w="5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Omissão — o Estatuto não prevê a obrigação de publicação semestral do relatório de transparência salarial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8"/>
                <w:szCs w:val="18"/>
              </w:rPr>
              <w:t xml:space="preserve">A-04</w:t>
            </w:r>
          </w:p>
        </w:tc>
        <w:tc>
          <w:tcPr>
            <w:tcW w:type="dxa" w:w="5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Estatuto Social, art. 46, caput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8"/>
                <w:szCs w:val="18"/>
              </w:rPr>
              <w:t xml:space="preserve">A-05</w:t>
            </w:r>
          </w:p>
        </w:tc>
        <w:tc>
          <w:tcPr>
            <w:tcW w:type="dxa" w:w="5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Estatuto Social, art. 23, caput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8"/>
                <w:szCs w:val="18"/>
              </w:rPr>
              <w:t xml:space="preserve">A-06</w:t>
            </w:r>
          </w:p>
        </w:tc>
        <w:tc>
          <w:tcPr>
            <w:tcW w:type="dxa" w:w="5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Estatuto Social, art. 59, caput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8"/>
                <w:szCs w:val="18"/>
              </w:rPr>
              <w:t xml:space="preserve">A-07</w:t>
            </w:r>
          </w:p>
        </w:tc>
        <w:tc>
          <w:tcPr>
            <w:tcW w:type="dxa" w:w="5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Sumário de Revisões do Estatuto — referência ao Decreto nº 59.058/2024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8"/>
                <w:szCs w:val="18"/>
              </w:rPr>
              <w:t xml:space="preserve">A-08</w:t>
            </w:r>
          </w:p>
        </w:tc>
        <w:tc>
          <w:tcPr>
            <w:tcW w:type="dxa" w:w="5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Estatuto Social, art. 5º, caput — capital social e situação do Patrimônio Líquido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8"/>
                <w:szCs w:val="18"/>
              </w:rPr>
              <w:t xml:space="preserve">A-09</w:t>
            </w:r>
          </w:p>
        </w:tc>
        <w:tc>
          <w:tcPr>
            <w:tcW w:type="dxa" w:w="5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Omissão — o Estatuto não declara o enquadramento de porte; a Carta Anual de Governança não confirma anualmente o enquadramento; o Inventário Normativo não registra a base de cálculo do porte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8"/>
                <w:szCs w:val="18"/>
              </w:rPr>
              <w:t xml:space="preserve">A-10</w:t>
            </w:r>
          </w:p>
        </w:tc>
        <w:tc>
          <w:tcPr>
            <w:tcW w:type="dxa" w:w="5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Omissão — o artigo sobre cota de gênero a ser incluído no Estatuto não prevê regra de arredondamento de frações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8"/>
                <w:szCs w:val="18"/>
              </w:rPr>
              <w:t xml:space="preserve">A-11</w:t>
            </w:r>
          </w:p>
        </w:tc>
        <w:tc>
          <w:tcPr>
            <w:tcW w:type="dxa" w:w="5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Omissão — o Estatuto não prevê regra de substituição do representante dos empregados em caso de vacância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8"/>
                <w:szCs w:val="18"/>
              </w:rPr>
              <w:t xml:space="preserve">A-12</w:t>
            </w:r>
          </w:p>
        </w:tc>
        <w:tc>
          <w:tcPr>
            <w:tcW w:type="dxa" w:w="5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Omissão — o Estatuto não prevê mecanismo de regime de alçadas proposto pela Diretoria e ratificado pelo CONADM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7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5496"/>
                <w:sz w:val="18"/>
                <w:szCs w:val="18"/>
              </w:rPr>
              <w:t xml:space="preserve">A-13</w:t>
            </w:r>
          </w:p>
        </w:tc>
        <w:tc>
          <w:tcPr>
            <w:tcW w:type="dxa" w:w="55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Omissão — o Estatuto não prevê o encaminhamento das demonstrações financeiras à Secretaria de Estado de Fazenda antes da AGO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A00"/>
                <w:sz w:val="18"/>
                <w:szCs w:val="18"/>
              </w:rPr>
              <w:t xml:space="preserve">Com Ressalva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18"/>
                <w:szCs w:val="18"/>
              </w:rPr>
              <w:t xml:space="preserve">Baixo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Achados detalhados</w:t>
      </w:r>
    </w:p>
    <w:p>
      <w:pPr>
        <w:pStyle w:val="Heading2"/>
      </w:pPr>
      <w:r>
        <w:rPr>
          <w:rFonts w:ascii="Arial" w:cs="Arial" w:eastAsia="Arial" w:hAnsi="Arial"/>
          <w:color w:val="5A0000"/>
        </w:rPr>
        <w:t xml:space="preserve">3.1  Não Conformidade Crítica</w:t>
      </w:r>
    </w:p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9400"/>
            <w:gridSpan w:val="2"/>
            <w:tcBorders>
              <w:top w:val="single" w:color="5A0000" w:sz="1"/>
              <w:left w:val="single" w:color="5A0000" w:sz="1"/>
              <w:bottom w:val="single" w:color="5A0000" w:sz="1"/>
              <w:right w:val="single" w:color="5A0000" w:sz="1"/>
            </w:tcBorders>
            <w:shd w:fill="FFD5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A0000"/>
                <w:sz w:val="22"/>
                <w:szCs w:val="22"/>
              </w:rPr>
              <w:t xml:space="preserve">A-01  </w:t>
            </w:r>
            <w:r>
              <w:rPr>
                <w:rFonts w:ascii="Arial" w:cs="Arial" w:eastAsia="Arial" w:hAnsi="Arial"/>
                <w:b/>
                <w:bCs/>
                <w:color w:val="5A0000"/>
                <w:sz w:val="22"/>
                <w:szCs w:val="22"/>
              </w:rPr>
              <w:t xml:space="preserve">NÃO CONFORMIDADE CRÍTICA</w:t>
            </w:r>
            <w:r>
              <w:rPr>
                <w:rFonts w:ascii="Arial" w:cs="Arial" w:eastAsia="Arial" w:hAnsi="Arial"/>
                <w:b w:val="false"/>
                <w:bCs w:val="false"/>
                <w:color w:val="5A0000"/>
                <w:sz w:val="18"/>
                <w:szCs w:val="18"/>
              </w:rPr>
              <w:t xml:space="preserve">   |   Completude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 15.177/2025, arts. 2º, I, 3º e 5º c/c art. 19-A da Lei 13.303/2016 (inserido pela Lei 15.177/2025)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Omissão — o Estatuto não contém nenhuma previsão sobre cota mínima de gênero no Conselho de Administração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Lei 15.177/2025 cria dois níveis de cota para o CA das estatais, ambos omitidos no Estatuto:
NÍVEL 1 — Cota de mulheres: pelo menos 30% dos membros titulares do CA devem ser mulheres. Com o CA atual de 8 membros: 30% × 8 = 2,4 → arredonda para baixo = 2 mulheres. Implementação gradual: 1ª eleição após a lei: 10% × 8 = 0,8 → 1 mulher; 2ª eleição: 20% × 8 = 1,6 → 2 mulheres; 3ª eleição em diante: 30% × 8 = 2,4 → 2 mulheres (estabiliza).
NÍVEL 2 — Subcota de mulheres negras ou com deficiência: do total de vagas reservadas a mulheres, pelo menos 30% devem ser preenchidas por mulheres negras ou com deficiência. Entra em vigor apenas após atingida a cota plena de 30% (3ª eleição). Cálculo: 30% × 2 vagas = 0,6 → arredonda para cima = 1 mulher negra ou com deficiência.
SITUAÇÃO ATUAL: o CA da CENTRAL tem 8 membros e nenhuma previsão estatutária sobre cotas. O art. 5º da Lei 15.177 determina que o Conselho fica impedido de deliberar sobre qualquer matéria enquanto a composição não atender o mínimo legal — risco de nulidade de todas as deliberações.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Impacto / Prob. / Criticidade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 / Alto / Alto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Incluir no Estatuto artigo com a seguinte redação: 'Pelo menos 30% dos membros titulares do Conselho de Administração serão mulheres, implementada gradualmente nos termos do art. 3º da Lei nº 15.177/2025, sendo que, do quantitativo de vagas reservadas a mulheres, pelo menos 30% deverão ser preenchidos por mulheres negras ou com deficiência, após atingida a reserva plena de 30%.'
2. Adequar imediatamente a composição atual: incluir ao menos 1 mulher no CA na próxima eleição (1ª eleição após a lei); 2 mulheres a partir da 2ª eleição; sendo 1 delas negra ou com deficiência a partir da 3ª eleição.
3. O artigo deve prever a regra percentual (não os números absolutos), para que permaneça correto se o tamanho do CA for alterado.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color w:val="7A4A00"/>
        </w:rPr>
        <w:t xml:space="preserve">3.3  Conforme com Ressalva</w:t>
      </w:r>
    </w:p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9400"/>
            <w:gridSpan w:val="2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EF5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A-02  </w:t>
            </w:r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CONFORME COM RESSALVA</w:t>
            </w: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   |   Completude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 13.303/2016, art. 8º, X (inserido pela Lei 15.177/2025)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Omissão — o Estatuto não prevê entre os requisitos de transparência a divulgação anual da política de igualdade de gênero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Lei 15.177/2025 inseriu o inciso X no art. 8º da Lei 13.303, obrigando as estatais a divulgar anualmente política de igualdade entre homens e mulheres com dados segregados por sexo: proporção de mulheres por nível hierárquico, remuneração fixa/variável segregada e evolução comparativa entre exercícios. O Estatuto não menciona essa obrigação nos seus requisitos de transparência.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Impacto / Prob. / Criticidade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 / Médio / Médio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Incluir nos artigos de transparência do Estatuto referência explícita à obrigação de divulgação anual da política de igualdade de gênero, conforme art. 8º, X da Lei 13.303/2016.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9400"/>
            <w:gridSpan w:val="2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EF5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A-03  </w:t>
            </w:r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CONFORME COM RESSALVA</w:t>
            </w: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   |   Completude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 14.611/2023, art. 5º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Omissão — o Estatuto não prevê a obrigação de publicação semestral do relatório de transparência salarial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Lei 14.611/2023 obriga pessoas jurídicas com 100 ou mais empregados a publicar relatório semestral de transparência salarial com dados anonimizados por sexo, raça e cargo. O Estatuto não prevê essa obrigação. A aplicabilidade depende de confirmação do número atual de empregados da CENTRAL.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Impacto / Prob. / Criticidade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 / Baixo / Médio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Confirmar se a CENTRAL possui 100 ou mais empregados. Se sim, incluir nos requisitos de transparência do Estatuto referência ao relatório semestral de transparência salarial exigido pela Lei 14.611/2023.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9400"/>
            <w:gridSpan w:val="2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EF5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A-04  </w:t>
            </w:r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CONFORME COM RESSALVA</w:t>
            </w: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   |   Legalidade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Decreto 46.188/2017, art. 38, §2º (com redação dada pelo Decreto 49.536/2025)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Estatuto Social, art. 46, caput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Decreto 49.536/2025 exige que o Conselho Fiscal conte com pelo menos 1 membro indicado pela SEFAZ com vínculo permanente com a administração pública estadual. O art. 46 do Estatuto prevê representante da 'Fazenda' mas não reproduz a exigência de vínculo permanente. Aguarda confirmação jurídica sobre a aplicabilidade do art. 38, §2º ao regime de menor porte.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Impacto / Prob. / Criticidade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 / Médio / Médio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com o jurídico se o art. 38, §2º do Decreto 46.188/2017 (com redação do Decreto 49.536/2025) aplica-se ao regime simplificado. Se aplicável, incluir no art. 46 a exigência de vínculo permanente do representante da Fazenda no Conselho Fiscal.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9400"/>
            <w:gridSpan w:val="2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EF5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A-05  </w:t>
            </w:r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CONFORME COM RESSALVA</w:t>
            </w: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   |   Completude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 13.303/2016, art. 19, §1º c/c Lei 12.353/2010, art. 2º, §§1º e 3º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Estatuto Social, art. 23, caput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art. 23 do Estatuto prevê 'um representante dos empregados' no Conselho de Administração, mas não disciplina o processo eleitoral (voto direto pelos pares, organizado pela empresa em conjunto com as entidades sindicais) nem prevê a vedação de participação do representante dos empregados em deliberações sobre relações sindicais, remuneração e benefícios. A obrigação de representação é dispensada se a CENTRAL tiver menos de 200 empregados (art. 5º da Lei 12.353/2010).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Impacto / Prob. / Criticidade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 / Médio / Médio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número de empregados. Se igual ou superior a 200: incluir no art. 23 a previsão do processo eleitoral por voto direto e a vedação de participação em deliberações com conflito de interesse, conforme Lei 12.353/2010.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9400"/>
            <w:gridSpan w:val="2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EF5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A-06  </w:t>
            </w:r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CONFORME COM RESSALVA</w:t>
            </w: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   |   Legalidade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Decreto 46.188/2017, art. 37, §9º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Estatuto Social, art. 59, caput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art. 59 do Estatuto prevê mandato uniforme de 2 anos para todos os membros do Comitê de Auditoria. O Decreto 46.188/2017, art. 37, §9º recomenda mandatos de 2 ou 3 anos de forma não coincidente entre os membros, garantindo escalonamento e continuidade institucional. O art. 55 do Decreto (regime de menor porte) não reproduz expressamente essa exigência, mas a boa prática de escalonamento permanece recomendada.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Impacto / Prob. / Criticidade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 / Alto / Alto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Alterar o art. 59 do Estatuto para prever que os mandatos dos membros do Comitê de Auditoria serão de 2 ou 3 anos, de forma não coincidente entre os membros, assegurando continuidade e memória institucional do órgão.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9400"/>
            <w:gridSpan w:val="2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EF5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A-07  </w:t>
            </w:r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CONFORME COM RESSALVA</w:t>
            </w: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   |   Atualização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Decreto Estadual 49.058/2024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Sumário de Revisões do Estatuto — referência ao Decreto nº 59.058/2024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Sumário de Revisões do Estatuto, arquivado na JUCERJA, indica que a revisão de novembro/2024 foi realizada 'em conformidade com as diretrizes estabelecidas pelo Decreto Estadual nº 59.058/2024'. O Decreto correto é o nº 49.058/2024. Trata-se de erro material no número do decreto referenciado em documento oficial.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Impacto / Prob. / Criticidade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 / Baixo / Baixo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o Sumário de Revisões para referenciar corretamente o Decreto Estadual nº 49.058/2024, mediante retificação ou aditamento do documento arquivado na JUCERJA.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9400"/>
            <w:gridSpan w:val="2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EF5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A-08  </w:t>
            </w:r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CONFORME COM RESSALVA</w:t>
            </w: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   |   Atualização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 6.404/1976, arts. 182 e 199 / Estatuto Social, art. 5º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Estatuto Social, art. 5º, caput — capital social e situação do Patrimônio Líquido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Balanço Patrimonial (SIAFE-RJ, exercício 2025) confirma que o valor do capital social de R$ 996.251.938,23 declarado no art. 5º do Estatuto está correto e atualizado. Contudo, o Patrimônio Líquido total é de apenas R$ 887,19 milhões em razão de prejuízos acumulados de R$ 593,78 milhões ao longo dos anos. O art. 5º, §2º veda a capitalização direta de resultado positivo sem trâmite pela conta de reservas — essa regra foi observada nos exercícios analisados. A ressalva decorre do contraste entre o capital social elevado (R$ 996 milhões), o ativo total expressivo (R$ 1,57 bilhão) e a receita operacional própria reduzida (R$ 7,08 milhões em 2025), o que pode induzir futuros gestores, auditores ou órgãos de controle a presumir enquadramento de porte pleno, quando na verdade a CENTRAL é empresa de menor porte pelo critério da receita operacional bruta própria.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Impacto / Prob. / Criticidade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 / Médio / Baixo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 alteração estatutária necessária em relação ao valor do capital social — está correto. Recomenda-se incluir nas notas explicativas das demonstrações financeiras e na Carta Anual de Governança Corporativa esclarecimento sobre a composição da receita operacional bruta para fins de enquadramento de porte, distinguindo receita própria (R$ 7,08 milhões) de transferências financeiras intragovernamentais (subvenção do Estado), para prevenir questionamentos em auditorias externas.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9400"/>
            <w:gridSpan w:val="2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EF5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A-09  </w:t>
            </w:r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CONFORME COM RESSALVA</w:t>
            </w: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   |   Completude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Decreto 46.188/2017, art. 49, §1º e art. 12, VIII / Lei 13.303/2016, art. 8º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Omissão — o Estatuto não declara o enquadramento de porte; a Carta Anual de Governança não confirma anualmente o enquadramento; o Inventário Normativo não registra a base de cálculo do porte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CENTRAL é empresa de menor porte nos termos do art. 49, §1º do Decreto 46.188/2017, pois sua receita operacional bruta própria (R$ 7.085.316,80 em 2025, conforme Balanço Orçamentário/SIAFE-RJ) é inferior ao limite de R$ 90 milhões. Isso determina a aplicação do regime simplificado dos arts. 49 a 55 do Decreto. Contudo, esse enquadramento não está formalmente registrado em nenhum documento da empresa: (1) o Estatuto Social não declara o porte nem a base legal aplicável; (2) a Carta Anual de Governança Corporativa não inclui seção de confirmação anual do enquadramento; (3) não há norma interna que defina o critério de apuração da receita operacional bruta para essa finalidade — especialmente a distinção entre receita própria e transferências intragovernamentais (subvenção). A ausência de registro formal expõe a CENTRAL a questionamentos de órgãos de controle (TCE-RJ, AGE) sobre o regime adotado, e cria risco de aplicação equivocada do regime pleno por futuros gestores que desconheçam o histórico. Adicionalmente, se a receita própria crescer e superar R$ 90 milhões em exercício futuro, não há mecanismo formal de alerta para migração ao regime pleno.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Impacto / Prob. / Criticidade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 / Médio / Médio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Incluir no Estatuto Social artigo ou parágrafo declarando expressamente o enquadramento como empresa de menor porte com base no art. 49, §1º do Decreto 46.188/2017, enquanto a receita operacional bruta própria permanecer inferior a R$ 90 milhões.
2. Incluir na Carta Anual de Governança Corporativa seção específica com: (a) valor da receita operacional bruta própria do exercício anterior; (b) confirmação do enquadramento de porte; (c) alerta caso a receita se aproxime do limite de R$ 90 milhões.
3. Registrar no Inventário Normativo a base de cálculo do porte — receita orçamentária própria arrecadada (R$ 7,08 milhões em 2025), excluindo transferências financeiras intragovernamentais — com atualização anual após aprovação das demonstrações pela Assembleia Geral.
4. Incluir o monitoramento do enquadramento de porte nas rotinas anuais da ASSGER e do Conselho Fiscal.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9400"/>
            <w:gridSpan w:val="2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EF5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A-10  </w:t>
            </w:r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CONFORME COM RESSALVA</w:t>
            </w: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   |   Completude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 15.177/2025, art. 3º / Lei 13.303/2016, art. 19-A, §2º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Omissão — o artigo sobre cota de gênero a ser incluído no Estatuto não prevê regra de arredondamento de frações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Lei 15.177/2025 institui cota mínima de 30% de mulheres no Conselho de Administração com implementação gradual. A aplicação dessa cota sobre número fixo de conselheiros invariavelmente gera frações (ex: 30% × 8 membros = 2,4). A ausência de regra expressa de arredondamento no Estatuto gera insegurança jurídica sobre o número exato de vagas a reservar em cada eleição, podendo gerar divergências entre o acionista majoritário, o COMEL e o CONADM no momento da eleição. A regra de arredondamento é exigência implícita da própria lei — não uma opção — e deve estar explicitada no Estatuto para garantir segurança na aplicação.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Impacto / Prob. / Criticidade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 / Médio / Médio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Incluir, no mesmo artigo que disciplinar a cota mínima de mulheres no CONADM (a ser criado conforme Achado A-01), o seguinte parágrafo:
'§X. Quando, em decorrência da observância do percentual mínimo previsto neste artigo, resultar número fracionário de membros, proceder-se-á ao arredondamento para o número inteiro: (i) imediatamente superior, quando a fração for igual ou superior a 0,5 (cinco décimos); ou (ii) imediatamente inferior, quando a fração for inferior a 0,5 (cinco décimos).'
Aplicação prática para a CENTRAL com 8 membros: cota de 30% × 8 = 2,4 → fração &lt; 0,5 → 2 mulheres. Subcota de 30% das vagas femininas: 30% × 2 = 0,6 → fração ≥ 0,5 → 1 vaga para mulher negra ou com deficiência.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9400"/>
            <w:gridSpan w:val="2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EF5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A-11  </w:t>
            </w:r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CONFORME COM RESSALVA</w:t>
            </w: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   |   Completude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 13.303/2016, art. 19 / Lei 12.353/2010, art. 2º / Decreto 46.188/2017, art. 22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Omissão — o Estatuto não prevê regra de substituição do representante dos empregados em caso de vacância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Estatuto da CENTRAL não disciplina o que ocorre com a vaga do representante dos empregados no CONADM em caso de vacância durante o mandato — por renúncia, perda de vínculo empregatício, nomeação para cargo na Diretoria ou outras hipóteses previstas no art. 17 do Estatuto. A ausência dessa previsão cria lacuna operacional: sem regra expressa, a vaga pode ficar desocupada até a próxima eleição ou ser preenchida por processo ad hoc sem critério previamente definido, gerando insegurança jurídica e potencial questionamento da composição do CONADM. Em consonância com a prática adotada por outras estatais do Estado do Rio de Janeiro, a regra mais adequada é a assunção pelo candidato mais votado não eleito.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Impacto / Prob. / Criticidade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 / Médio / Médio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Incluir no artigo sobre vacância do Estatuto o seguinte parágrafo:
'§X. Em caso de vacância no curso do mandato do representante dos empregados no Conselho de Administração, a substituição recairá sobre o candidato mais votado não eleito no processo eleitoral, que completará o prazo de gestão remanescente — em consonância com a prática adotada por outras estatais do Estado do Rio de Janeiro.'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9400"/>
            <w:gridSpan w:val="2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EF5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A-12  </w:t>
            </w:r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CONFORME COM RESSALVA</w:t>
            </w: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   |   Completude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Decreto 46.188/2017, art. 28, XV / Lei 13.303/2016, art. 18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Omissão — o Estatuto não prevê mecanismo de regime de alçadas proposto pela Diretoria e ratificado pelo CONADM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Estatuto atribui ao CONADM a definição dos limites de alçada (art. 28, XV), mas não disciplina o mecanismo operacional para isso — especialmente como a Diretoria pode propor e o CONADM ratificar atualizações nas alçadas sem necessidade de deliberação formal a cada ajuste. Essa lacuna foi identificada como causa dos Achados B-06 (Etapa 2a) e C-09 (Etapa 2b), onde o RILC e as competências da Diretoria operam sem referência clara às alçadas aprovadas. Em consonância com a prática adotada por outras estatais do Estado do Rio de Janeiro, o modelo mais adequado é a Diretoria instituir o regime de alçadas por Resolução Diretorial, submetida à ratificação do CONADM.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Impacto / Prob. / Criticidade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 / Médio / Médio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Incluir parágrafo no artigo de competências da Diretoria e outro no artigo de competências do CONADM:
No artigo da Diretoria: 'A Diretoria Executiva poderá instituir regime de alçadas por meio de Resolução Diretorial, estabelecendo os limites das competências individuais atribuídas aos Diretores, Assessores e Gerentes para deliberação de matérias, em razão do valor, especificamente no que tange à celebração de contratos, convênios e quaisquer instrumentos que gerem obrigação para a Companhia, devendo a Resolução ser submetida à ratificação do Conselho de Administração — em consonância com a prática adotada por outras estatais do Estado do Rio de Janeiro.'
No artigo do CONADM: incluir nas competências 'ratificar o regime de alçadas instituído pela Diretoria Executiva, nos termos do §X do artigo [X] deste Estatuto.'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9400"/>
            <w:gridSpan w:val="2"/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EF5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A-13  </w:t>
            </w:r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CONFORME COM RESSALVA</w:t>
            </w: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18"/>
                <w:szCs w:val="18"/>
              </w:rPr>
              <w:t xml:space="preserve">   |   Completude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Norma de referência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Decreto 46.188/2017, art. 12, I e III / Lei 13.303/2016, art. 8º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Dispositivo analisado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Omissão — o Estatuto não prevê o encaminhamento das demonstrações financeiras à Secretaria de Estado de Fazenda antes da AGO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Estatuto da CENTRAL não prevê o encaminhamento formal das demonstrações financeiras e relatórios à Secretaria de Estado de Fazenda previamente à realização da Assembleia Geral Ordinária. Esse fluxo é relevante para o exercício do papel fiscalizador do acionista majoritário e para o cumprimento das obrigações de transparência do art. 12 do Decreto 46.188/2017. Em consonância com a prática adotada por outras estatais do Estado do Rio de Janeiro, recomenda-se a fixação de prazo mínimo de 30 dias antes da AGO para esse encaminhamento.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Impacto / Prob. / Criticidade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 / Baixo / Baixo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Ação recomendada</w:t>
            </w:r>
          </w:p>
        </w:tc>
        <w:tc>
          <w:tcPr>
            <w:tcW w:type="dxa" w:w="7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Incluir no artigo de competências do CONADM ou no capítulo de transparência do Estatuto o seguinte parágrafo:
'§X. O Conselho de Administração disponibilizará a todos os acionistas e encaminhará à Secretaria de Estado de Fazenda, até 30 (trinta) dias antes da realização da Assembleia Geral Ordinária: (i) o Relatório da Administração sobre os negócios sociais e os principais fatos administrativos do exercício findo; (ii) as demonstrações contábeis do exercício anterior, acompanhadas dos pareceres dos auditores independentes, do Conselho Fiscal e da Auditoria Interna; e (iii) os demais documentos previstos na legislação — em consonância com a prática adotada por outras estatais do Estado do Rio de Janeiro.'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Próximos passos prioritários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 Adequação da composição do Conselho de Administração à cota mínima de 30% de mulheres (Lei 15.177/2025) — ação imediata, risco de nulidade de deliberações (A-01).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 Convocação de Assembleia Geral Extraordinária para aprovação das alterações estatutárias necessárias: cota de gênero com regra de arredondamento (A-01 e A-10), política de igualdade de gênero (A-02), vínculo permanente no Conselho Fiscal (A-04), processo eleitoral dos empregados (A-05), mandatos escalonados do Comitê de Auditoria (A-06), declaração formal do enquadramento de menor porte (A-09), vacância do representante dos empregados (A-11), regime de alçadas (A-12) e envio de demonstrações à SEFAZ (A-13).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 Incluir na próxima Carta Anual de Governança Corporativa seção de confirmação do enquadramento de menor porte (A-09).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 Verificar o número de empregados da CENTRAL para confirmar aplicabilidade dos achados A-03 (relatório semestral salarial — Lei 14.611/2023, aplicável se ≥ 100 empregados) e A-05 (representação dos empregados no CONADM — Lei 12.353/2010, dispensada se &lt; 200 empregados).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 Consultar a ASSJUR sobre a aplicabilidade do art. 38, §2º do Decreto 46.188/2017 (vínculo permanente no Conselho Fiscal) ao regime simplificado de menor porte (A-04).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 Retificar o Sumário de Revisões do Estatuto na JUCERJA para corrigir o número do decreto: 49.058/2024, não 59.058/2024 (A-07).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7.  Atualizar o Inventário Normativo com o registro formal do enquadramento de porte (A-09).</w:t>
      </w:r>
    </w:p>
    <w:p>
      <w:pPr>
        <w:pBdr>
          <w:top w:val="single" w:color="E8E4DC" w:sz="4"/>
        </w:pBdr>
        <w:spacing w:after="60" w:before="20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Área de Compliance e Riscos — CENTRAL  |  Elaborado em 09/06/2026  |  Etapa 1 de 5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2026-06-09T19:59:13.834Z</dcterms:created>
  <dcterms:modified xsi:type="dcterms:W3CDTF">2026-06-09T19:59:13.835Z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