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6A" w:rsidRDefault="00981BAB">
      <w:pPr>
        <w:spacing w:after="2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ANÁLISE DO PROCEDIMENTO PADRÃO DE CONTRATAÇÃO DIRETA OU POR INEXIGIBILIDADE</w:t>
      </w:r>
      <w:r>
        <w:rPr>
          <w:b/>
          <w:bCs/>
          <w:sz w:val="26"/>
          <w:szCs w:val="26"/>
        </w:rPr>
        <w:br/>
        <w:t>VERSÃO VIGENTE × SUGESTÃO DA SUPADM (129659709)</w:t>
      </w:r>
    </w:p>
    <w:p w:rsidR="00667F21" w:rsidRPr="00667F21" w:rsidRDefault="00667F21" w:rsidP="00667F21">
      <w:pPr>
        <w:jc w:val="center"/>
        <w:rPr>
          <w:sz w:val="24"/>
          <w:szCs w:val="24"/>
        </w:rPr>
      </w:pPr>
    </w:p>
    <w:p w:rsidR="0053346A" w:rsidRPr="00667F21" w:rsidRDefault="00667F21" w:rsidP="00667F21">
      <w:pPr>
        <w:spacing w:after="24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OBJETIVO:</w:t>
      </w:r>
      <w:r w:rsidRPr="00667F21">
        <w:rPr>
          <w:sz w:val="24"/>
          <w:szCs w:val="24"/>
        </w:rPr>
        <w:t xml:space="preserve"> </w:t>
      </w:r>
      <w:r w:rsidR="00981BAB" w:rsidRPr="00667F21">
        <w:rPr>
          <w:sz w:val="24"/>
          <w:szCs w:val="24"/>
        </w:rPr>
        <w:t>Comparar a redação vigente do POP (etapas B.1 a B.12) com a minuta de sugestão da SUPADM (itens 1 a 9), identificando o que saiu, o que saiu em parte, o que foi incluído e o que mudou de responsável ou de ordem. A minuta não traz justificativa para as alterações.</w:t>
      </w:r>
    </w:p>
    <w:p w:rsidR="0053346A" w:rsidRPr="00667F21" w:rsidRDefault="00667F21" w:rsidP="00667F21">
      <w:pPr>
        <w:spacing w:after="24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CRITÉRIO: </w:t>
      </w:r>
      <w:r w:rsidR="00981BAB" w:rsidRPr="00667F21">
        <w:rPr>
          <w:sz w:val="24"/>
          <w:szCs w:val="24"/>
        </w:rPr>
        <w:t>Uma ação só é listada como "saiu por completo" se não aparece em nenhum ponto da sugestão. Se a ação permanece, ainda que em outro item, com outro responsável ou com redação reduzida, ela consta como "saiu em parte" ou como mudança de responsável.</w:t>
      </w:r>
    </w:p>
    <w:p w:rsidR="0053346A" w:rsidRPr="00667F21" w:rsidRDefault="00667F21" w:rsidP="00667F21">
      <w:pPr>
        <w:spacing w:after="24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REFERÊNCIAS</w:t>
      </w:r>
      <w:r>
        <w:rPr>
          <w:b/>
          <w:bCs/>
          <w:sz w:val="24"/>
          <w:szCs w:val="24"/>
        </w:rPr>
        <w:t>:</w:t>
      </w:r>
      <w:r w:rsidRPr="00667F21">
        <w:rPr>
          <w:sz w:val="24"/>
          <w:szCs w:val="24"/>
        </w:rPr>
        <w:t xml:space="preserve"> </w:t>
      </w:r>
      <w:r w:rsidR="00981BAB" w:rsidRPr="00667F21">
        <w:rPr>
          <w:sz w:val="24"/>
          <w:szCs w:val="24"/>
        </w:rPr>
        <w:t xml:space="preserve">No vigente, os itens de cada etapa são numerados automaticamente (a, b, </w:t>
      </w:r>
      <w:proofErr w:type="gramStart"/>
      <w:r w:rsidR="00981BAB" w:rsidRPr="00667F21">
        <w:rPr>
          <w:sz w:val="24"/>
          <w:szCs w:val="24"/>
        </w:rPr>
        <w:t>c...</w:t>
      </w:r>
      <w:proofErr w:type="gramEnd"/>
      <w:r w:rsidR="00981BAB" w:rsidRPr="00667F21">
        <w:rPr>
          <w:sz w:val="24"/>
          <w:szCs w:val="24"/>
        </w:rPr>
        <w:t>). Na sugestão, há letras repetidas (o item 1 tem dois "d" e o item 3 repete o "b"); por isso, quando necessário, cita-se "(1º)" ou "(2º)" para indicar a ordem em que a letra aparece.</w:t>
      </w:r>
    </w:p>
    <w:p w:rsidR="0053346A" w:rsidRPr="00667F21" w:rsidRDefault="00667F21" w:rsidP="00667F21">
      <w:pPr>
        <w:pStyle w:val="Ttulo1"/>
        <w:spacing w:before="280" w:after="120" w:line="276" w:lineRule="auto"/>
        <w:rPr>
          <w:color w:val="000000" w:themeColor="text1"/>
          <w:sz w:val="24"/>
          <w:szCs w:val="24"/>
          <w:u w:val="single"/>
        </w:rPr>
      </w:pPr>
      <w:r w:rsidRPr="00667F21">
        <w:rPr>
          <w:b/>
          <w:bCs/>
          <w:color w:val="000000" w:themeColor="text1"/>
          <w:sz w:val="24"/>
          <w:szCs w:val="24"/>
          <w:u w:val="single"/>
        </w:rPr>
        <w:t>SÍNTESE DOS PRINCIPAIS PONTOS</w:t>
      </w:r>
    </w:p>
    <w:p w:rsidR="0053346A" w:rsidRP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Controle de integridade retirado:</w:t>
      </w:r>
      <w:r w:rsidRPr="00667F21">
        <w:rPr>
          <w:sz w:val="24"/>
          <w:szCs w:val="24"/>
        </w:rPr>
        <w:t xml:space="preserve"> a consulta a SIGA, CNEP e CEIS saiu sem substituto (a verificação de "Certidões" permanece, mas não equivale à consulta às listas de sanção).</w:t>
      </w:r>
    </w:p>
    <w:p w:rsidR="0053346A" w:rsidRP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Empenho sem etapa própria:</w:t>
      </w:r>
      <w:r w:rsidRPr="00667F21">
        <w:rPr>
          <w:sz w:val="24"/>
          <w:szCs w:val="24"/>
        </w:rPr>
        <w:t xml:space="preserve"> saíram a autorização do empenho pelo Presidente (B.10), o Despacho Anexo II e a emissão da NE (B.11). A NE só aparece como dado do termo de contrato (6a).</w:t>
      </w:r>
    </w:p>
    <w:p w:rsidR="0053346A" w:rsidRP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DDI sem critério definido:</w:t>
      </w:r>
      <w:r w:rsidRPr="00667F21">
        <w:rPr>
          <w:sz w:val="24"/>
          <w:szCs w:val="24"/>
        </w:rPr>
        <w:t xml:space="preserve"> saíram os gatilhos de alto grau de risco de integridade e de Política de Alçada; a sugestão diz apenas "de acordo com o valor". O Relatório da DDI também deixou de trazer "medidas a serem adotadas".</w:t>
      </w:r>
    </w:p>
    <w:p w:rsidR="0053346A" w:rsidRP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RILC e ASSJUR enfraquecidos:</w:t>
      </w:r>
      <w:r w:rsidRPr="00667F21">
        <w:rPr>
          <w:sz w:val="24"/>
          <w:szCs w:val="24"/>
        </w:rPr>
        <w:t xml:space="preserve"> a referência ao RILC saiu da manifestação da SUPADM (6e); a verificação do cumprimento das recomendações da ASSJUR deixou o tópico 1 e fic</w:t>
      </w:r>
      <w:r w:rsidR="007A476C">
        <w:rPr>
          <w:sz w:val="24"/>
          <w:szCs w:val="24"/>
        </w:rPr>
        <w:t>ou só no item 3c, depois da DDI.</w:t>
      </w:r>
    </w:p>
    <w:p w:rsidR="0053346A" w:rsidRP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667F21">
        <w:rPr>
          <w:b/>
          <w:bCs/>
          <w:sz w:val="24"/>
          <w:szCs w:val="24"/>
        </w:rPr>
        <w:t>Fluxo reordenado:</w:t>
      </w:r>
      <w:r w:rsidRPr="00667F21">
        <w:rPr>
          <w:sz w:val="24"/>
          <w:szCs w:val="24"/>
        </w:rPr>
        <w:t xml:space="preserve"> a assinatura do contrato passou a ocorrer depois de SIGA, NAD e aprovação. </w:t>
      </w:r>
    </w:p>
    <w:p w:rsidR="00667F21" w:rsidRDefault="00981BAB" w:rsidP="00667F21">
      <w:pPr>
        <w:pStyle w:val="PargrafodaLista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7A476C">
        <w:rPr>
          <w:b/>
          <w:bCs/>
          <w:sz w:val="24"/>
          <w:szCs w:val="24"/>
        </w:rPr>
        <w:t>Inconsistências internas na sugestão</w:t>
      </w:r>
      <w:r w:rsidRPr="007A476C">
        <w:rPr>
          <w:sz w:val="24"/>
          <w:szCs w:val="24"/>
        </w:rPr>
        <w:t xml:space="preserve"> (seção </w:t>
      </w:r>
      <w:r w:rsidR="007A476C" w:rsidRPr="007A476C">
        <w:rPr>
          <w:sz w:val="24"/>
          <w:szCs w:val="24"/>
        </w:rPr>
        <w:t>5</w:t>
      </w:r>
      <w:r w:rsidRPr="007A476C">
        <w:rPr>
          <w:sz w:val="24"/>
          <w:szCs w:val="24"/>
        </w:rPr>
        <w:t>), entre elas NAD emitida duas vezes</w:t>
      </w:r>
      <w:r w:rsidR="007A476C">
        <w:rPr>
          <w:sz w:val="24"/>
          <w:szCs w:val="24"/>
        </w:rPr>
        <w:t>.</w:t>
      </w:r>
    </w:p>
    <w:p w:rsidR="007A476C" w:rsidRDefault="007A476C" w:rsidP="007A476C">
      <w:pPr>
        <w:spacing w:after="60" w:line="276" w:lineRule="auto"/>
        <w:jc w:val="both"/>
        <w:rPr>
          <w:sz w:val="24"/>
          <w:szCs w:val="24"/>
        </w:rPr>
      </w:pPr>
    </w:p>
    <w:p w:rsidR="007A476C" w:rsidRPr="007A476C" w:rsidRDefault="007A476C" w:rsidP="007A476C">
      <w:pPr>
        <w:spacing w:after="60" w:line="276" w:lineRule="auto"/>
        <w:jc w:val="both"/>
        <w:rPr>
          <w:sz w:val="24"/>
          <w:szCs w:val="24"/>
        </w:rPr>
      </w:pPr>
    </w:p>
    <w:p w:rsidR="00667F21" w:rsidRDefault="00667F21" w:rsidP="00667F21">
      <w:pPr>
        <w:spacing w:after="60" w:line="276" w:lineRule="auto"/>
        <w:rPr>
          <w:sz w:val="24"/>
          <w:szCs w:val="24"/>
        </w:rPr>
      </w:pPr>
    </w:p>
    <w:p w:rsidR="00667F21" w:rsidRDefault="00667F21" w:rsidP="00667F21">
      <w:pPr>
        <w:spacing w:after="60" w:line="276" w:lineRule="auto"/>
        <w:rPr>
          <w:sz w:val="24"/>
          <w:szCs w:val="24"/>
        </w:rPr>
      </w:pPr>
    </w:p>
    <w:p w:rsidR="007A476C" w:rsidRPr="00667F21" w:rsidRDefault="007A476C" w:rsidP="00667F21">
      <w:pPr>
        <w:spacing w:after="60" w:line="276" w:lineRule="auto"/>
        <w:rPr>
          <w:sz w:val="24"/>
          <w:szCs w:val="24"/>
        </w:rPr>
      </w:pPr>
    </w:p>
    <w:p w:rsidR="0053346A" w:rsidRPr="00667F21" w:rsidRDefault="00667F21">
      <w:pPr>
        <w:pStyle w:val="Ttulo1"/>
        <w:spacing w:before="280" w:after="120"/>
        <w:rPr>
          <w:color w:val="000000" w:themeColor="text1"/>
        </w:rPr>
      </w:pPr>
      <w:r w:rsidRPr="00667F21">
        <w:rPr>
          <w:b/>
          <w:bCs/>
          <w:color w:val="000000" w:themeColor="text1"/>
          <w:sz w:val="24"/>
          <w:szCs w:val="24"/>
        </w:rPr>
        <w:lastRenderedPageBreak/>
        <w:t>1. AÇÕES DA VERSÃO VIGENTE QUE SAÍRAM POR COMPLETO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6600"/>
        <w:gridCol w:w="3300"/>
        <w:gridCol w:w="4378"/>
      </w:tblGrid>
      <w:tr w:rsidR="0053346A">
        <w:trPr>
          <w:cantSplit/>
          <w:tblHeader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AÇÃO (REDAÇÃO VIGENTE)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ONDE ESTAVA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SITUAÇÃO NA SUGESTÃO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Coluna </w:t>
            </w:r>
            <w:r>
              <w:rPr>
                <w:b/>
                <w:bCs/>
                <w:sz w:val="18"/>
                <w:szCs w:val="18"/>
              </w:rPr>
              <w:t>PRAZO (estimado)</w:t>
            </w:r>
            <w:r>
              <w:rPr>
                <w:sz w:val="18"/>
                <w:szCs w:val="18"/>
              </w:rPr>
              <w:t xml:space="preserve">: 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667F21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Cabeçalho da tabela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Coluna suprimida. Não há mais prazos.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Caso necessário, </w:t>
            </w:r>
            <w:r>
              <w:rPr>
                <w:b/>
                <w:bCs/>
                <w:sz w:val="18"/>
                <w:szCs w:val="18"/>
              </w:rPr>
              <w:t>encaminhar para a ASSJUR para uma nova análise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B.1, item c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Verificar se o contratado </w:t>
            </w:r>
            <w:r>
              <w:rPr>
                <w:b/>
                <w:bCs/>
                <w:sz w:val="18"/>
                <w:szCs w:val="18"/>
              </w:rPr>
              <w:t>não está na lista de empresas vedadas nos sistemas SIGA, CNEP e CEIS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B.1, Controles necessários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 Permanece só o controle de "Certidões inseridas e atualizadas".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Após aprovar o Planejamento no SIGA, </w:t>
            </w:r>
            <w:r>
              <w:rPr>
                <w:b/>
                <w:bCs/>
                <w:sz w:val="18"/>
                <w:szCs w:val="18"/>
              </w:rPr>
              <w:t>clicar em "concluir"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B.4, item b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CHEGAB: </w:t>
            </w:r>
            <w:r>
              <w:rPr>
                <w:b/>
                <w:bCs/>
                <w:sz w:val="18"/>
                <w:szCs w:val="18"/>
              </w:rPr>
              <w:t>elaborar a minuta de Despacho de autorização da NAD (Anexo II)</w:t>
            </w:r>
            <w:r>
              <w:rPr>
                <w:sz w:val="18"/>
                <w:szCs w:val="18"/>
              </w:rPr>
              <w:t xml:space="preserve"> e encaminhar ao Diretor Presidente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B.10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PRESI: </w:t>
            </w:r>
            <w:r>
              <w:rPr>
                <w:b/>
                <w:bCs/>
                <w:sz w:val="18"/>
                <w:szCs w:val="18"/>
              </w:rPr>
              <w:t>assinar a minuta de Despacho (Anexo II)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B.10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PRESI: </w:t>
            </w:r>
            <w:r>
              <w:rPr>
                <w:b/>
                <w:bCs/>
                <w:sz w:val="18"/>
                <w:szCs w:val="18"/>
              </w:rPr>
              <w:t>autorizar a emissão da Nota de Empenho no SIGA</w:t>
            </w:r>
            <w:r>
              <w:rPr>
                <w:sz w:val="18"/>
                <w:szCs w:val="18"/>
              </w:rPr>
              <w:t xml:space="preserve"> e encaminhar à DIRPLA/GERORT (a redação vigente escreve "Nota de Empenho – NAD")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B.10, item b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 O item 5 da sugestão trata só da autorização da NAD.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GERORT/DIRPLA: </w:t>
            </w:r>
            <w:r>
              <w:rPr>
                <w:b/>
                <w:bCs/>
                <w:sz w:val="18"/>
                <w:szCs w:val="18"/>
              </w:rPr>
              <w:t>emitir a Nota de Empenho (NE)</w:t>
            </w:r>
            <w:r>
              <w:rPr>
                <w:sz w:val="18"/>
                <w:szCs w:val="18"/>
              </w:rPr>
              <w:t xml:space="preserve"> como etapa própria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B.11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Sem etapa nem responsável. A NE aparece apenas como dado do termo de contrato (6a) e, de passagem, como "NAD/Empenho" (3e).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Remeter o processo ao </w:t>
            </w:r>
            <w:r>
              <w:rPr>
                <w:b/>
                <w:bCs/>
                <w:sz w:val="18"/>
                <w:szCs w:val="18"/>
              </w:rPr>
              <w:t>setor de Compras para registro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B.11</w:t>
            </w:r>
          </w:p>
        </w:tc>
        <w:tc>
          <w:tcPr>
            <w:tcW w:w="4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Não consta.</w:t>
            </w:r>
          </w:p>
        </w:tc>
      </w:tr>
    </w:tbl>
    <w:p w:rsidR="0053346A" w:rsidRDefault="00981BAB">
      <w:pPr>
        <w:pStyle w:val="Ttulo1"/>
        <w:spacing w:before="280" w:after="120"/>
      </w:pPr>
      <w:r w:rsidRPr="00667F21">
        <w:rPr>
          <w:b/>
          <w:bCs/>
          <w:color w:val="000000" w:themeColor="text1"/>
          <w:sz w:val="24"/>
          <w:szCs w:val="24"/>
        </w:rPr>
        <w:t xml:space="preserve">2. </w:t>
      </w:r>
      <w:r w:rsidR="00667F21" w:rsidRPr="00667F21">
        <w:rPr>
          <w:b/>
          <w:bCs/>
          <w:color w:val="000000" w:themeColor="text1"/>
          <w:sz w:val="24"/>
          <w:szCs w:val="24"/>
        </w:rPr>
        <w:t>AÇÕES QUE SAÍRAM EM PARTE OU PERDERAM CONTEÚDO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800"/>
        <w:gridCol w:w="1000"/>
        <w:gridCol w:w="5000"/>
        <w:gridCol w:w="5478"/>
      </w:tblGrid>
      <w:tr w:rsidR="0053346A">
        <w:trPr>
          <w:cantSplit/>
          <w:tblHeader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AÇÃO (REDAÇÃO VIGENTE)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O QUE SAIU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COMO FICOU NA SUGESTÃO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Conferência e ajuste das minutas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B.1, item a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Conferência das informações inseridas pela área demandante; ajuste do </w:t>
            </w:r>
            <w:r>
              <w:rPr>
                <w:b/>
                <w:bCs/>
                <w:sz w:val="18"/>
                <w:szCs w:val="18"/>
              </w:rPr>
              <w:t>Edital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>Minuta-Padrão PGE</w:t>
            </w:r>
            <w:r>
              <w:rPr>
                <w:sz w:val="18"/>
                <w:szCs w:val="18"/>
              </w:rPr>
              <w:t>. "Termo de Conformidade" virou "Declaração de Conformidade".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1a: ajustar a minuta do Instrumento Contratual e da Declaração de Conformidade "de acordo com Parecer e certificar".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Verificação do atendimento das recomendações da ASSJUR e manifestação de que o processo está instruído de acordo com o </w:t>
            </w:r>
            <w:r>
              <w:rPr>
                <w:b/>
                <w:bCs/>
                <w:sz w:val="18"/>
                <w:szCs w:val="18"/>
              </w:rPr>
              <w:t>RILC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B.1, item b, e B.3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Saiu do tópico 1 (antes da DDI). Perdeu a condição "</w:t>
            </w:r>
            <w:r>
              <w:rPr>
                <w:b/>
                <w:bCs/>
                <w:sz w:val="18"/>
                <w:szCs w:val="18"/>
              </w:rPr>
              <w:t>caso positivo</w:t>
            </w:r>
            <w:r>
              <w:rPr>
                <w:sz w:val="18"/>
                <w:szCs w:val="18"/>
              </w:rPr>
              <w:t xml:space="preserve">". No tópico 1 restou só o controle "verificar se as exigências da ASSJUR foram atendidas, </w:t>
            </w:r>
            <w:r>
              <w:rPr>
                <w:b/>
                <w:bCs/>
                <w:sz w:val="18"/>
                <w:szCs w:val="18"/>
              </w:rPr>
              <w:t>caso houver</w:t>
            </w:r>
            <w:r>
              <w:rPr>
                <w:sz w:val="18"/>
                <w:szCs w:val="18"/>
              </w:rPr>
              <w:t>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3c (após a DDI), uma única vez: "</w:t>
            </w:r>
            <w:r>
              <w:rPr>
                <w:b/>
                <w:bCs/>
                <w:sz w:val="18"/>
                <w:szCs w:val="18"/>
              </w:rPr>
              <w:t>caso aplicável</w:t>
            </w:r>
            <w:r>
              <w:rPr>
                <w:sz w:val="18"/>
                <w:szCs w:val="18"/>
              </w:rPr>
              <w:t xml:space="preserve"> [...] apresentando justificativa".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Realizar a Avaliação de Conformidade/DDI, ou encaminhá-la à ASSGER, </w:t>
            </w:r>
            <w:r>
              <w:rPr>
                <w:b/>
                <w:bCs/>
                <w:sz w:val="18"/>
                <w:szCs w:val="18"/>
              </w:rPr>
              <w:t>obrigatoriamente</w:t>
            </w:r>
            <w:r>
              <w:rPr>
                <w:sz w:val="18"/>
                <w:szCs w:val="18"/>
              </w:rPr>
              <w:t xml:space="preserve"> nos casos definidos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B.1, item d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"Realizar"; "Avaliação de Conformidade"; "obrigatoriamente"; os critérios de </w:t>
            </w:r>
            <w:r>
              <w:rPr>
                <w:b/>
                <w:bCs/>
                <w:sz w:val="18"/>
                <w:szCs w:val="18"/>
              </w:rPr>
              <w:t>alto grau de risco de integridade</w:t>
            </w:r>
            <w:r>
              <w:rPr>
                <w:sz w:val="18"/>
                <w:szCs w:val="18"/>
              </w:rPr>
              <w:t xml:space="preserve"> (ato da Diretoria ou do Conselho) e de valor acima da </w:t>
            </w:r>
            <w:r>
              <w:rPr>
                <w:b/>
                <w:bCs/>
                <w:sz w:val="18"/>
                <w:szCs w:val="18"/>
              </w:rPr>
              <w:t>Política de Alçada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1d (2º): "encaminhar [...] solicitando a realização do DDI, </w:t>
            </w:r>
            <w:r>
              <w:rPr>
                <w:b/>
                <w:bCs/>
                <w:sz w:val="18"/>
                <w:szCs w:val="18"/>
              </w:rPr>
              <w:t>de acordo com o valor</w:t>
            </w:r>
            <w:r>
              <w:rPr>
                <w:sz w:val="18"/>
                <w:szCs w:val="18"/>
              </w:rPr>
              <w:t>", sem definir o valor. A lista de exceções (abaixo de R$ 20.000,00, aditivo, ARP, órgãos públicos) foi mantida.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Realizar a DDI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"Avaliação de Conformidade".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2a: "realizar o DDI".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Relatório da DDI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Exigência de o Relatório trazer "</w:t>
            </w:r>
            <w:r>
              <w:rPr>
                <w:b/>
                <w:bCs/>
                <w:sz w:val="18"/>
                <w:szCs w:val="18"/>
              </w:rPr>
              <w:t>medidas a serem adotadas</w:t>
            </w:r>
            <w:r>
              <w:rPr>
                <w:sz w:val="18"/>
                <w:szCs w:val="18"/>
              </w:rPr>
              <w:t>". O retorno dos autos deixou de ser à GERLIC.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2c: elaborar o Relatório de DDI (e o de Avaliação do Programa de Integridade, se aplicável) e restituir os autos à SUPADM.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Verificar as recomendações do Relatório de DDI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Condição "caso aplicável".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3a: verificar o grau de risco e as recomendações, sem condição.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Preparar o Contrato ou Instrumento Contratual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Preparar</w:t>
            </w:r>
            <w:r>
              <w:rPr>
                <w:sz w:val="18"/>
                <w:szCs w:val="18"/>
              </w:rPr>
              <w:t xml:space="preserve">"; "ou instrumento equivalente"; a condição alternativa ("atender às recomendações </w:t>
            </w:r>
            <w:r>
              <w:rPr>
                <w:b/>
                <w:bCs/>
                <w:sz w:val="18"/>
                <w:szCs w:val="18"/>
              </w:rPr>
              <w:t>ou</w:t>
            </w:r>
            <w:r>
              <w:rPr>
                <w:sz w:val="18"/>
                <w:szCs w:val="18"/>
              </w:rPr>
              <w:t xml:space="preserve"> não haver impedimentos") virou cumulativa.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6d: "e não havendo impedimentos, o instrumento contratual é disponibilizado para assinatura". 6a: complementar os dados do "termo de contrato".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Manifestação expressa do titular da SUPADM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B.4, item c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Referência ao </w:t>
            </w:r>
            <w:r>
              <w:rPr>
                <w:b/>
                <w:bCs/>
                <w:sz w:val="18"/>
                <w:szCs w:val="18"/>
              </w:rPr>
              <w:t>RILC</w:t>
            </w:r>
            <w:r>
              <w:rPr>
                <w:sz w:val="18"/>
                <w:szCs w:val="18"/>
              </w:rPr>
              <w:t xml:space="preserve"> e o advérbio "devidamente".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6e: processo "instruído e em condições de ser enviado para assinatura dos Diretores", com as recomendações da ASSJUR cumpridas.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PRESI: assinar a Portaria e determinar a publicação no DOERJ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B.6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Aviso de Licitação (caso aplicável)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8 (PRESI, a): "determinar a publicação no DOERJ".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PRESI: encaminhar o processo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B.6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GERADM</w:t>
            </w:r>
            <w:r>
              <w:rPr>
                <w:sz w:val="18"/>
                <w:szCs w:val="18"/>
              </w:rPr>
              <w:t xml:space="preserve"> como destinatária.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8 (PRESI, d): DIRAF e Gestores do SIGFIS.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Criar a Contratação no SIGA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B.7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Remessa do processo à DIRAF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 (2º b): "a GERADM faz a contratação no SIGA", sem remessa à DIRAF.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Aprovar a Contratação no SIGA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B.8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Solicitação à DIRPLA/GERORT da </w:t>
            </w:r>
            <w:r>
              <w:rPr>
                <w:b/>
                <w:bCs/>
                <w:sz w:val="18"/>
                <w:szCs w:val="18"/>
              </w:rPr>
              <w:t>autorização da emissão da NAD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Item 5: a PRESI aprova e encaminha à DIRPLA/GERORT "que irá emitir a NAD".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Emitir a NAD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B.9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Verificação prévia do processo</w:t>
            </w:r>
            <w:r>
              <w:rPr>
                <w:sz w:val="18"/>
                <w:szCs w:val="18"/>
              </w:rPr>
              <w:t xml:space="preserve"> e "no sistema SIGA".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4a: "emite a NAD e faz o planejamento".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Encaminhar à CHEGAB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B.9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Solicitação de autorização da </w:t>
            </w:r>
            <w:r>
              <w:rPr>
                <w:b/>
                <w:bCs/>
                <w:sz w:val="18"/>
                <w:szCs w:val="18"/>
              </w:rPr>
              <w:t>emissão de empenho pelo Presidente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4b: "para autorização da NAD".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CHEGAB: encaminhar ao Presidente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B.10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Autorização do </w:t>
            </w:r>
            <w:r>
              <w:rPr>
                <w:b/>
                <w:bCs/>
                <w:sz w:val="18"/>
                <w:szCs w:val="18"/>
              </w:rPr>
              <w:t>empenhamento da despesa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5b: "autorização da NAD".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>Registro do contrato no TCE-RJ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B.12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Expressão "</w:t>
            </w:r>
            <w:r>
              <w:rPr>
                <w:b/>
                <w:bCs/>
                <w:sz w:val="18"/>
                <w:szCs w:val="18"/>
              </w:rPr>
              <w:t>registro do Contrato</w:t>
            </w:r>
            <w:r>
              <w:rPr>
                <w:sz w:val="18"/>
                <w:szCs w:val="18"/>
              </w:rPr>
              <w:t>".</w:t>
            </w:r>
          </w:p>
        </w:tc>
        <w:tc>
          <w:tcPr>
            <w:tcW w:w="5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8 (PRESI, d): "lançamento no TCE", pelos Gestores do SIGFIS.</w:t>
            </w:r>
          </w:p>
        </w:tc>
      </w:tr>
    </w:tbl>
    <w:p w:rsidR="00667F21" w:rsidRDefault="00667F21">
      <w:pPr>
        <w:pStyle w:val="Ttulo1"/>
        <w:spacing w:before="280" w:after="120"/>
        <w:rPr>
          <w:b/>
          <w:bCs/>
          <w:sz w:val="24"/>
          <w:szCs w:val="24"/>
        </w:rPr>
      </w:pPr>
    </w:p>
    <w:p w:rsidR="00667F21" w:rsidRDefault="00667F21">
      <w:pPr>
        <w:pStyle w:val="Ttulo1"/>
        <w:spacing w:before="280" w:after="120"/>
        <w:rPr>
          <w:b/>
          <w:bCs/>
          <w:sz w:val="24"/>
          <w:szCs w:val="24"/>
        </w:rPr>
      </w:pPr>
    </w:p>
    <w:p w:rsidR="00667F21" w:rsidRDefault="00667F21">
      <w:pPr>
        <w:pStyle w:val="Ttulo1"/>
        <w:spacing w:before="280" w:after="120"/>
        <w:rPr>
          <w:b/>
          <w:bCs/>
          <w:sz w:val="24"/>
          <w:szCs w:val="24"/>
        </w:rPr>
      </w:pPr>
    </w:p>
    <w:p w:rsidR="0053346A" w:rsidRDefault="00667F21" w:rsidP="00667F21">
      <w:pPr>
        <w:pStyle w:val="Ttulo1"/>
        <w:spacing w:before="280" w:after="120"/>
        <w:rPr>
          <w:color w:val="000000" w:themeColor="text1"/>
        </w:rPr>
      </w:pPr>
      <w:r w:rsidRPr="00667F21">
        <w:rPr>
          <w:b/>
          <w:bCs/>
          <w:color w:val="000000" w:themeColor="text1"/>
          <w:sz w:val="24"/>
          <w:szCs w:val="24"/>
        </w:rPr>
        <w:lastRenderedPageBreak/>
        <w:t>3. AÇÕES INCLUÍDAS NA SUGESTÃO QUE NÃO CONSTAM NO POP VIGENTE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478"/>
        <w:gridCol w:w="4800"/>
      </w:tblGrid>
      <w:tr w:rsidR="0053346A">
        <w:trPr>
          <w:cantSplit/>
          <w:tblHeader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AÇÃO INCLUÍDA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ONDE ESTÁ NA SUGESTÃO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b/>
                <w:bCs/>
                <w:sz w:val="18"/>
                <w:szCs w:val="18"/>
              </w:rPr>
              <w:t>Receber e validar</w:t>
            </w:r>
            <w:r>
              <w:rPr>
                <w:sz w:val="18"/>
                <w:szCs w:val="18"/>
              </w:rPr>
              <w:t xml:space="preserve"> os documentos da fase preparatória (já aprovados pela ASSJUR, se necessário), conforme o POP de Elaboração de Documentos da Fase Preparatória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Item 1, texto inicial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Nas inexigibilidades, </w:t>
            </w:r>
            <w:r>
              <w:rPr>
                <w:b/>
                <w:bCs/>
                <w:sz w:val="18"/>
                <w:szCs w:val="18"/>
              </w:rPr>
              <w:t>certificar a juntada da documentação comprobatória de exclusividade</w:t>
            </w:r>
            <w:r>
              <w:rPr>
                <w:sz w:val="18"/>
                <w:szCs w:val="18"/>
              </w:rPr>
              <w:t xml:space="preserve"> no fornecimento do bem ou serviço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1b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Se o Parecer ponderar sobre a pesquisa de mercado, </w:t>
            </w:r>
            <w:r>
              <w:rPr>
                <w:b/>
                <w:bCs/>
                <w:sz w:val="18"/>
                <w:szCs w:val="18"/>
              </w:rPr>
              <w:t>verificar se os fornecedores foram selecionados pelo SIGA</w:t>
            </w:r>
            <w:r>
              <w:rPr>
                <w:sz w:val="18"/>
                <w:szCs w:val="18"/>
              </w:rPr>
              <w:t xml:space="preserve">. Se foram de fora, conferir os itens da </w:t>
            </w:r>
            <w:r>
              <w:rPr>
                <w:b/>
                <w:bCs/>
                <w:sz w:val="18"/>
                <w:szCs w:val="18"/>
              </w:rPr>
              <w:t>Orientação Administrativa PGE nº 13</w:t>
            </w:r>
            <w:r>
              <w:rPr>
                <w:sz w:val="18"/>
                <w:szCs w:val="18"/>
              </w:rPr>
              <w:t xml:space="preserve">: justificativa da fonte, pertinência temática, e-mail funcional com identificação do empregado, e </w:t>
            </w:r>
            <w:proofErr w:type="spellStart"/>
            <w:r>
              <w:rPr>
                <w:sz w:val="18"/>
                <w:szCs w:val="18"/>
              </w:rPr>
              <w:t>prints</w:t>
            </w:r>
            <w:proofErr w:type="spellEnd"/>
            <w:r>
              <w:rPr>
                <w:sz w:val="18"/>
                <w:szCs w:val="18"/>
              </w:rPr>
              <w:t xml:space="preserve"> ou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com data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1c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b/>
                <w:bCs/>
                <w:sz w:val="18"/>
                <w:szCs w:val="18"/>
              </w:rPr>
              <w:t>Verificar o valor e as condições do contrato</w:t>
            </w:r>
            <w:r>
              <w:rPr>
                <w:sz w:val="18"/>
                <w:szCs w:val="18"/>
              </w:rPr>
              <w:t xml:space="preserve"> e, </w:t>
            </w:r>
            <w:r>
              <w:rPr>
                <w:b/>
                <w:bCs/>
                <w:sz w:val="18"/>
                <w:szCs w:val="18"/>
              </w:rPr>
              <w:t>caso necessário</w:t>
            </w:r>
            <w:r>
              <w:rPr>
                <w:sz w:val="18"/>
                <w:szCs w:val="18"/>
              </w:rPr>
              <w:t xml:space="preserve">, encaminhar o </w:t>
            </w:r>
            <w:r>
              <w:rPr>
                <w:b/>
                <w:bCs/>
                <w:sz w:val="18"/>
                <w:szCs w:val="18"/>
              </w:rPr>
              <w:t>Formulário de Avaliação do Programa de Integridade</w:t>
            </w:r>
            <w:r>
              <w:rPr>
                <w:sz w:val="18"/>
                <w:szCs w:val="18"/>
              </w:rPr>
              <w:t xml:space="preserve"> ao fornecedor: valor superior a 455.387,23 UFIR (obras e engenharia) ou 197.334,47 UFIR (compras e serviços) e prazo igual ou superior a 180 dias. A redação não esclarece se valor e prazo são cumulativos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1d (1º)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b/>
                <w:bCs/>
                <w:sz w:val="18"/>
                <w:szCs w:val="18"/>
              </w:rPr>
              <w:t>Abrir novo processo SEI</w:t>
            </w:r>
            <w:r>
              <w:rPr>
                <w:sz w:val="18"/>
                <w:szCs w:val="18"/>
              </w:rPr>
              <w:t xml:space="preserve"> para a avaliação do Programa de Integridade, conforme o Procedimento Padrão específico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Observação do 1d (1º)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Controle: verificar se consta nos autos a </w:t>
            </w:r>
            <w:r>
              <w:rPr>
                <w:b/>
                <w:bCs/>
                <w:sz w:val="18"/>
                <w:szCs w:val="18"/>
              </w:rPr>
              <w:t>Declaração de Disponibilidade Orçamentária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Controles do item 1 (3º)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Controle: a </w:t>
            </w:r>
            <w:r>
              <w:rPr>
                <w:b/>
                <w:bCs/>
                <w:sz w:val="18"/>
                <w:szCs w:val="18"/>
              </w:rPr>
              <w:t>DDI será realizada mesmo que o fornecedor não envie</w:t>
            </w:r>
            <w:r>
              <w:rPr>
                <w:sz w:val="18"/>
                <w:szCs w:val="18"/>
              </w:rPr>
              <w:t xml:space="preserve"> o Formulário e os documentos comprobatórios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Controles do item 1 (último)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b/>
                <w:bCs/>
                <w:sz w:val="18"/>
                <w:szCs w:val="18"/>
              </w:rPr>
              <w:t>Inserir o resultado da avaliação do Programa de Integridade</w:t>
            </w:r>
            <w:r>
              <w:rPr>
                <w:sz w:val="18"/>
                <w:szCs w:val="18"/>
              </w:rPr>
              <w:t xml:space="preserve"> no processo SEI específico e citá-lo no Relatório de DDI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2b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Elaborar o </w:t>
            </w:r>
            <w:r>
              <w:rPr>
                <w:b/>
                <w:bCs/>
                <w:sz w:val="18"/>
                <w:szCs w:val="18"/>
              </w:rPr>
              <w:t>Relatório de Avaliação do Programa de Integridade</w:t>
            </w:r>
            <w:r>
              <w:rPr>
                <w:sz w:val="18"/>
                <w:szCs w:val="18"/>
              </w:rPr>
              <w:t>, se aplicável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2c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Verificar o </w:t>
            </w:r>
            <w:r>
              <w:rPr>
                <w:b/>
                <w:bCs/>
                <w:sz w:val="18"/>
                <w:szCs w:val="18"/>
              </w:rPr>
              <w:t>grau de risco atribuído ao fornecedor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3a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Se o risco for </w:t>
            </w:r>
            <w:r>
              <w:rPr>
                <w:b/>
                <w:bCs/>
                <w:sz w:val="18"/>
                <w:szCs w:val="18"/>
              </w:rPr>
              <w:t>médio ou alto</w:t>
            </w:r>
            <w:r>
              <w:rPr>
                <w:sz w:val="18"/>
                <w:szCs w:val="18"/>
              </w:rPr>
              <w:t xml:space="preserve">, avaliar a necessidade de </w:t>
            </w:r>
            <w:r>
              <w:rPr>
                <w:b/>
                <w:bCs/>
                <w:sz w:val="18"/>
                <w:szCs w:val="18"/>
              </w:rPr>
              <w:t xml:space="preserve">alertar </w:t>
            </w:r>
            <w:proofErr w:type="gramStart"/>
            <w:r>
              <w:rPr>
                <w:b/>
                <w:bCs/>
                <w:sz w:val="18"/>
                <w:szCs w:val="18"/>
              </w:rPr>
              <w:t>o(</w:t>
            </w:r>
            <w:proofErr w:type="gramEnd"/>
            <w:r>
              <w:rPr>
                <w:b/>
                <w:bCs/>
                <w:sz w:val="18"/>
                <w:szCs w:val="18"/>
              </w:rPr>
              <w:t>s) Diretor(es)</w:t>
            </w:r>
            <w:r>
              <w:rPr>
                <w:sz w:val="18"/>
                <w:szCs w:val="18"/>
              </w:rPr>
              <w:t xml:space="preserve"> para procedimentos adicionais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3b (1º)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SUPADM </w:t>
            </w:r>
            <w:r>
              <w:rPr>
                <w:b/>
                <w:bCs/>
                <w:sz w:val="18"/>
                <w:szCs w:val="18"/>
              </w:rPr>
              <w:t>inicia a contratação no SIAFE/RIO</w:t>
            </w:r>
            <w:r>
              <w:rPr>
                <w:sz w:val="18"/>
                <w:szCs w:val="18"/>
              </w:rPr>
              <w:t>, em paralelo com a GERADM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3d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SUPADM </w:t>
            </w:r>
            <w:r>
              <w:rPr>
                <w:b/>
                <w:bCs/>
                <w:sz w:val="18"/>
                <w:szCs w:val="18"/>
              </w:rPr>
              <w:t>envia o processo à SUPLAN</w:t>
            </w:r>
            <w:r>
              <w:rPr>
                <w:sz w:val="18"/>
                <w:szCs w:val="18"/>
              </w:rPr>
              <w:t xml:space="preserve"> para emitir NAD/Empenho no SIGA/RJ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3e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CHEGAB </w:t>
            </w:r>
            <w:r>
              <w:rPr>
                <w:b/>
                <w:bCs/>
                <w:sz w:val="18"/>
                <w:szCs w:val="18"/>
              </w:rPr>
              <w:t>verifica a instrução processual</w:t>
            </w:r>
            <w:r>
              <w:rPr>
                <w:sz w:val="18"/>
                <w:szCs w:val="18"/>
              </w:rPr>
              <w:t xml:space="preserve"> antes de encaminhar à PRESI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5a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DIRAF </w:t>
            </w:r>
            <w:r>
              <w:rPr>
                <w:b/>
                <w:bCs/>
                <w:sz w:val="18"/>
                <w:szCs w:val="18"/>
              </w:rPr>
              <w:t>assina o contrato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6f e 7b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CHEGAB verifica também o </w:t>
            </w:r>
            <w:r>
              <w:rPr>
                <w:b/>
                <w:bCs/>
                <w:sz w:val="18"/>
                <w:szCs w:val="18"/>
              </w:rPr>
              <w:t>grau de risco apurado no Relatório de DDI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8 (CHEGAB, a)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Encaminhar aos </w:t>
            </w:r>
            <w:r>
              <w:rPr>
                <w:b/>
                <w:bCs/>
                <w:sz w:val="18"/>
                <w:szCs w:val="18"/>
              </w:rPr>
              <w:t>Gestores do SIGFIS</w:t>
            </w:r>
            <w:r>
              <w:rPr>
                <w:sz w:val="18"/>
                <w:szCs w:val="18"/>
              </w:rPr>
              <w:t xml:space="preserve"> para lançamento no TCE, com </w:t>
            </w:r>
            <w:r>
              <w:rPr>
                <w:b/>
                <w:bCs/>
                <w:sz w:val="18"/>
                <w:szCs w:val="18"/>
              </w:rPr>
              <w:t>posterior envio à CHEGAB</w:t>
            </w:r>
            <w:r>
              <w:rPr>
                <w:sz w:val="18"/>
                <w:szCs w:val="18"/>
              </w:rPr>
              <w:t xml:space="preserve"> para apreciação e consolidação dos atos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8 (PRESI, d)</w:t>
            </w:r>
          </w:p>
        </w:tc>
      </w:tr>
      <w:tr w:rsidR="0053346A" w:rsidTr="00667F21">
        <w:trPr>
          <w:cantSplit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 w:rsidP="00667F21">
            <w:pPr>
              <w:spacing w:after="40"/>
              <w:jc w:val="both"/>
            </w:pPr>
            <w:r>
              <w:rPr>
                <w:sz w:val="18"/>
                <w:szCs w:val="18"/>
              </w:rPr>
              <w:t xml:space="preserve">Gestor do Contrato </w:t>
            </w:r>
            <w:r>
              <w:rPr>
                <w:b/>
                <w:bCs/>
                <w:sz w:val="18"/>
                <w:szCs w:val="18"/>
              </w:rPr>
              <w:t>completa os dados no SIAFE-RIO e no SIGA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3346A" w:rsidRDefault="00981BAB" w:rsidP="00667F21">
            <w:pPr>
              <w:spacing w:after="40"/>
              <w:jc w:val="center"/>
            </w:pPr>
            <w:r>
              <w:rPr>
                <w:sz w:val="18"/>
                <w:szCs w:val="18"/>
              </w:rPr>
              <w:t>9c</w:t>
            </w:r>
          </w:p>
        </w:tc>
      </w:tr>
    </w:tbl>
    <w:p w:rsidR="00667F21" w:rsidRDefault="00667F21">
      <w:pPr>
        <w:pStyle w:val="Ttulo2"/>
        <w:spacing w:before="200" w:after="100"/>
        <w:rPr>
          <w:b/>
          <w:bCs/>
          <w:sz w:val="21"/>
          <w:szCs w:val="21"/>
        </w:rPr>
      </w:pPr>
    </w:p>
    <w:p w:rsidR="0053346A" w:rsidRPr="008C378C" w:rsidRDefault="008C378C">
      <w:pPr>
        <w:pStyle w:val="Ttulo1"/>
        <w:spacing w:before="280" w:after="120"/>
        <w:rPr>
          <w:color w:val="000000" w:themeColor="text1"/>
        </w:rPr>
      </w:pPr>
      <w:r w:rsidRPr="008C378C">
        <w:rPr>
          <w:b/>
          <w:bCs/>
          <w:color w:val="000000" w:themeColor="text1"/>
          <w:sz w:val="24"/>
          <w:szCs w:val="24"/>
        </w:rPr>
        <w:lastRenderedPageBreak/>
        <w:t>4. MUDANÇA NA ORDEM DO FLUXO</w:t>
      </w:r>
    </w:p>
    <w:p w:rsidR="0053346A" w:rsidRDefault="00981BAB">
      <w:pPr>
        <w:spacing w:after="80"/>
      </w:pPr>
      <w:r>
        <w:t xml:space="preserve">Na versão vigente, o contrato é assinado (B.6) </w:t>
      </w:r>
      <w:r>
        <w:rPr>
          <w:b/>
          <w:bCs/>
        </w:rPr>
        <w:t>antes</w:t>
      </w:r>
      <w:r>
        <w:t xml:space="preserve"> de criar a contratação no SIGA, emitir a NAD e emitir a NE (B.7 a B.11). Na sugestão, SIGA, SIAFE, NAD e aprovação da PRESI vêm </w:t>
      </w:r>
      <w:r>
        <w:rPr>
          <w:b/>
          <w:bCs/>
        </w:rPr>
        <w:t>antes</w:t>
      </w:r>
      <w:r>
        <w:t xml:space="preserve"> da assinatura (itens 3 a 5 e 8). Por isso a NE perde o lugar próprio.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9"/>
        <w:gridCol w:w="7419"/>
      </w:tblGrid>
      <w:tr w:rsidR="0053346A">
        <w:trPr>
          <w:tblHeader/>
        </w:trPr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VIGENTE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SUGESTÃO</w:t>
            </w:r>
          </w:p>
        </w:tc>
      </w:tr>
      <w:tr w:rsidR="0053346A">
        <w:trPr>
          <w:cantSplit/>
        </w:trPr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B.1 Conferência (GERLIC e SUPADM)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B.2 DDI (ASSGER)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B.3 Análise final e preparação do contrato (GERLIC)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B.4 Aprovação do Planejamento no SIGA (SUPADM)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B.5 Aprovação (DIRAF)</w:t>
            </w:r>
          </w:p>
          <w:p w:rsidR="0053346A" w:rsidRDefault="00981BA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B.6 Assinatura do contrato (CHEGAB/PRESI)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B.7 Criar contratação no SIGA (GERADM)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B.8 Aprovar contratação no SIGA (DIRAF)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B.9 Emitir NAD (GERORT/DIRPLA)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B.10 Autorizar empenho (CHEGAB/PRESI)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B.11 Emitir NE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B.12 Início da execução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1 Conferência (SUPADM)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2 DDI (ASSGER)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3 Análise final; GERADM contrata no SIGA; SUPADM inicia no SIAFE/RIO; envio à SUPLAN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4 NAD e planejamento (SUPLAN/GERORT)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5 Aprovação da Contratação no SIGA (CHEGAB/PRESI)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6 Efetivação: termo de contrato com NE, assinaturas do fornecedor, manifestação da SUPADM (SUPADM/GERLIC)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7 Aprovação e assinatura (DIRAF)</w:t>
            </w:r>
          </w:p>
          <w:p w:rsidR="0053346A" w:rsidRDefault="00981BA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8 Assinatura do contrato (CHEGAB/PRESI)</w:t>
            </w:r>
          </w:p>
          <w:p w:rsidR="0053346A" w:rsidRDefault="00981BAB">
            <w:pPr>
              <w:spacing w:after="40"/>
            </w:pPr>
            <w:r>
              <w:rPr>
                <w:sz w:val="18"/>
                <w:szCs w:val="18"/>
              </w:rPr>
              <w:t>9 Início da execução (Gestor e fiscais)</w:t>
            </w:r>
          </w:p>
        </w:tc>
      </w:tr>
    </w:tbl>
    <w:p w:rsidR="0053346A" w:rsidRPr="008C378C" w:rsidRDefault="008C378C">
      <w:pPr>
        <w:pStyle w:val="Ttulo1"/>
        <w:spacing w:before="280" w:after="120"/>
        <w:rPr>
          <w:color w:val="000000" w:themeColor="text1"/>
        </w:rPr>
      </w:pPr>
      <w:r w:rsidRPr="008C378C">
        <w:rPr>
          <w:b/>
          <w:bCs/>
          <w:color w:val="000000" w:themeColor="text1"/>
          <w:sz w:val="24"/>
          <w:szCs w:val="24"/>
        </w:rPr>
        <w:t>5. INCONSISTÊNCIAS E PONTOS DE ATENÇÃO NA REDAÇÃO DA SUGESTÃO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Numeração:</w:t>
      </w:r>
      <w:r>
        <w:t xml:space="preserve"> o item 1 tem dois itens "d" e o item 3 repete a letra "b". Isso compromete as remissões internas.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NAD emitida duas vezes:</w:t>
      </w:r>
      <w:r>
        <w:t xml:space="preserve"> no item 4 (SUPLAN/GERORT emite a NAD) e de novo no item 5 (a PRESI encaminha à DIRPLA/GERORT "que irá emitir a NAD"). O item 3e fala em "NAD/Empenho".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NE sem etapa:</w:t>
      </w:r>
      <w:r>
        <w:t xml:space="preserve"> não há ação de autorizar nem de emitir a Nota de Empenho, nem responsável. Ela só é citada como dado do termo de contrato (6a).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Unidade com nomes diferentes:</w:t>
      </w:r>
      <w:r>
        <w:t xml:space="preserve"> SUPLAN (3e e 4) e DIRPLA/GERORT (item 5) parecem tratar da mesma função.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DDI sem critério:</w:t>
      </w:r>
      <w:r>
        <w:t xml:space="preserve"> "de acordo com o valor" não diz qual valor. O vigente remetia à Política de Alçada e ao ato que define o alto grau de risco, ambos "em elaboração".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Programa de Integridade:</w:t>
      </w:r>
      <w:r>
        <w:t xml:space="preserve"> valor e prazo são apresentados sem indicar se as condições são cumulativas ou alternativas.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ASSJUR:</w:t>
      </w:r>
      <w:r>
        <w:t xml:space="preserve"> o cumprimento das recomendações só é verificado no 3c, depois da DDI, e a nota do item 4 prevê parecer posterior ao Planejamento (ver 3.3).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Referência cruzada imprecisa:</w:t>
      </w:r>
      <w:r>
        <w:t xml:space="preserve"> o item 8 (CHEGAB, b) remete ao "passo a" sem indicar de qual POP. No vigente, a remissão era ao "passo A" da fase preparatória.</w:t>
      </w:r>
    </w:p>
    <w:p w:rsidR="0053346A" w:rsidRDefault="00981BAB" w:rsidP="008C378C">
      <w:pPr>
        <w:pStyle w:val="Pargrafoda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Consulta a SIGA, CNEP e CEIS:</w:t>
      </w:r>
      <w:r>
        <w:t xml:space="preserve"> recomenda-se </w:t>
      </w:r>
      <w:proofErr w:type="spellStart"/>
      <w:r>
        <w:t>reincluí-la</w:t>
      </w:r>
      <w:proofErr w:type="spellEnd"/>
      <w:r>
        <w:t xml:space="preserve"> no item 1, pois a verificação de "Certidões" não equivale à consulta às listas de sanção.</w:t>
      </w:r>
    </w:p>
    <w:p w:rsidR="00B424BE" w:rsidRDefault="00B424BE" w:rsidP="00B424BE">
      <w:pPr>
        <w:spacing w:after="60" w:line="360" w:lineRule="auto"/>
      </w:pPr>
    </w:p>
    <w:p w:rsidR="00B424BE" w:rsidRDefault="00B424BE" w:rsidP="00B424BE">
      <w:pPr>
        <w:spacing w:after="60" w:line="360" w:lineRule="auto"/>
      </w:pPr>
    </w:p>
    <w:p w:rsidR="00B424BE" w:rsidRDefault="00B424BE" w:rsidP="00B424BE">
      <w:pPr>
        <w:spacing w:after="60" w:line="360" w:lineRule="auto"/>
      </w:pPr>
    </w:p>
    <w:p w:rsidR="00B424BE" w:rsidRPr="00F32515" w:rsidRDefault="00B424BE" w:rsidP="00B424BE">
      <w:pPr>
        <w:pStyle w:val="artigo"/>
        <w:ind w:firstLine="525"/>
        <w:jc w:val="center"/>
        <w:rPr>
          <w:rFonts w:ascii="Arial" w:hAnsi="Arial" w:cs="Arial"/>
        </w:rPr>
      </w:pPr>
      <w:r w:rsidRPr="00F32515">
        <w:rPr>
          <w:rFonts w:ascii="Arial" w:hAnsi="Arial" w:cs="Arial"/>
          <w:b/>
          <w:sz w:val="28"/>
          <w:szCs w:val="28"/>
        </w:rPr>
        <w:lastRenderedPageBreak/>
        <w:t>ACHADOS DE NÃO CONFORMIDADE DO POP DE CONTRATAÇÃO DIRETA OU INEXIGIBILIDADE</w:t>
      </w:r>
    </w:p>
    <w:p w:rsidR="00B424BE" w:rsidRPr="00F32515" w:rsidRDefault="00B424BE" w:rsidP="00B424BE">
      <w:pPr>
        <w:pStyle w:val="artigo"/>
        <w:jc w:val="both"/>
        <w:rPr>
          <w:rFonts w:ascii="Arial" w:hAnsi="Arial" w:cs="Arial"/>
        </w:rPr>
      </w:pPr>
      <w:r w:rsidRPr="00F32515">
        <w:rPr>
          <w:rFonts w:ascii="Arial" w:hAnsi="Arial" w:cs="Arial"/>
          <w:sz w:val="22"/>
          <w:szCs w:val="22"/>
        </w:rPr>
        <w:t>Análise frente ao Estatuto Social da CENTRAL, à Lei nº 13.303/2016 (Lei das Estatais), ao Regulamento Interno de Licitação e Contratos (RILC) vigente e à Lei Estadual nº 7.753/2017 (Programa de Integridade)</w:t>
      </w:r>
    </w:p>
    <w:tbl>
      <w:tblPr>
        <w:tblStyle w:val="Tabelacomgrade"/>
        <w:tblW w:w="14029" w:type="dxa"/>
        <w:tblLook w:val="04A0" w:firstRow="1" w:lastRow="0" w:firstColumn="1" w:lastColumn="0" w:noHBand="0" w:noVBand="1"/>
      </w:tblPr>
      <w:tblGrid>
        <w:gridCol w:w="540"/>
        <w:gridCol w:w="1410"/>
        <w:gridCol w:w="4991"/>
        <w:gridCol w:w="2126"/>
        <w:gridCol w:w="4962"/>
      </w:tblGrid>
      <w:tr w:rsidR="00B424BE" w:rsidRPr="00F32515" w:rsidTr="00783EA0">
        <w:trPr>
          <w:trHeight w:val="308"/>
          <w:tblHeader/>
        </w:trPr>
        <w:tc>
          <w:tcPr>
            <w:tcW w:w="540" w:type="dxa"/>
            <w:shd w:val="clear" w:color="auto" w:fill="D9E2F3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#</w:t>
            </w:r>
          </w:p>
        </w:tc>
        <w:tc>
          <w:tcPr>
            <w:tcW w:w="1410" w:type="dxa"/>
            <w:shd w:val="clear" w:color="auto" w:fill="D9E2F3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ETAPA</w:t>
            </w:r>
          </w:p>
        </w:tc>
        <w:tc>
          <w:tcPr>
            <w:tcW w:w="4991" w:type="dxa"/>
            <w:shd w:val="clear" w:color="auto" w:fill="D9E2F3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ACHADO</w:t>
            </w:r>
          </w:p>
        </w:tc>
        <w:tc>
          <w:tcPr>
            <w:tcW w:w="2126" w:type="dxa"/>
            <w:shd w:val="clear" w:color="auto" w:fill="D9E2F3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BASE</w:t>
            </w:r>
          </w:p>
        </w:tc>
        <w:tc>
          <w:tcPr>
            <w:tcW w:w="4962" w:type="dxa"/>
            <w:shd w:val="clear" w:color="auto" w:fill="D9E2F3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RECOMENDAÇÃO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O POP não prevê a ratificação da dispensa ou inexigibilidade pelo Diretor-Presidente. 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RILC, art. 123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Transformar o passo da Presidência na Etapa 5 em ato expresso de ratificação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no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 xml:space="preserve"> SEI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1(b) e 1(c)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justificativa do preço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e 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razão da escolha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do fornecedor não são conferidas como obrigatórias. A pesquisa de preços só é verificada se o Parecer levantar a questão.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Lei 13.303, art. 30, §3º, II e III; RILC, art. 121, VI e VII, e parágrafo único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Conferir sempre os dois elementos. Na inexigibilidade, comparar com os preços que a futura contratada pratica com outros entes. Na dispensa, seguir o art. 21 do RILC.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3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1(d) 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O POP exige que o fornecedor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comprove a existência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do Programa de Integridade antes da contratação. A lei dá 180 dias depois da assinatura para implantar o programa e, antes da assinatura, só pede declaração de quem já o tem.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Lei 7.753,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5º e 10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Reescrever a alínea. Antes da assinatura, pedir 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declaração do art. 10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quem já tem programa. Para os demais, avisar do prazo de 180 dias. A avaliação feita antes do contrato serve de insumo de risco e não impede a contratação.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4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2 e 9 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A lei dá ao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Gestor do Contrato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tarefa de fiscalizar a implantação do programa e informar o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Ordenador de Despesas</w:t>
            </w:r>
            <w:r w:rsidRPr="00F32515">
              <w:rPr>
                <w:rFonts w:ascii="Arial" w:hAnsi="Arial" w:cs="Arial"/>
                <w:sz w:val="21"/>
                <w:szCs w:val="21"/>
              </w:rPr>
              <w:t>, que aplica a multa. O POP não passa essa tarefa ao gestor (Etapa 9) e concentra a avaliação na ASSGER (Etapa 2).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Lei 7.753,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6º, 11 e 12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Incluir na Etapa 9: acompanhar o prazo de 180 dias, receber a prova documental e informar o Ordenador de Despesas sobre descumprimento ou atraso. A ASSGER atua como apoio técnico, sem assumir a fiscalização. Isso também preserva a segregação de funções.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6(c)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O POP só prevê o extrato no DOERJ. Faltam a publicação do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contrato completo no site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e o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prazo de 30 dias</w:t>
            </w:r>
            <w:r w:rsidRPr="00F32515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RILC, art. 137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Incluir as duas publicações, com o prazo e os responsáveis.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6(b) e 6(d)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Não há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convocação formal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do fornecedor para assinar, com o prazo de 5 dias úteis e a lista de documentos exigidos. O fornecedor assina antes das aprovações internas.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RILC, art. 136, caput e §§ 3º e 4º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Criar o passo de convocação depois da Etapa 7. Incluir entre os documentos 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declaração do art. 10 da Lei 7.753</w:t>
            </w:r>
            <w:r w:rsidRPr="00F32515">
              <w:rPr>
                <w:rFonts w:ascii="Arial" w:hAnsi="Arial" w:cs="Arial"/>
                <w:sz w:val="21"/>
                <w:szCs w:val="21"/>
              </w:rPr>
              <w:t>, quando couber. Excluir a alínea 6(b).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7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3(c) e 6(e)</w:t>
            </w:r>
          </w:p>
        </w:tc>
        <w:tc>
          <w:tcPr>
            <w:tcW w:w="4991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O POP não trata do caso em que a área decide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não acolher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alguma recomendação da ASSJUR.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RILC, art. 33, §1º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Prever a justificativa técnica da área, ratificada pelo Diretor-Presidente, juntada antes da manifestação da SUPADM.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8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1(b)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 inexigibilidade só é conferida pela exclusividade. Ficam de fora a notória especialização e a checagem da veracidade dos documentos.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Lei 13.303, art. 30, II e §1º; RILC, art. 125, II, §§ 1º e 2º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Incluir as formas de prova do §1º, a confirmação da veracidade e a conferência da hipótese do inciso II.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9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1(c)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O POP usa a Orientação da PGE nº 13, que o RILC não incorpora. O RILC tem regra própria para a pesquisa com fornecedores.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RILC, art. 21, IV e §3º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Usar o art. 21 como base e manter os itens da PGE como complemento. Deixar claro que vale para a dispensa.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lastRenderedPageBreak/>
              <w:t>10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1(d)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Os limites de valor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conferem com a lei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: R$ 1,5 milhão e R$ 650 mil convertidos pela UFIR-RJ de 2018. Mas faltam a citação da lei e a indicação de que valor e prazo são exigidos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ao mesmo tempo</w:t>
            </w:r>
            <w:r w:rsidRPr="00F32515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Lei 7.753, art. 1º, caput e §4º (atualização anual pela UFIR-RJ)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Citar a lei. Deixar explícito que as duas condições são cumulativas. Orientar a conversão pela UFIR-RJ do ano da contratação.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11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1(d)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O formulário de avaliação é definido em outro POP. A lei fixa 16 parâmetros de avaliação e exige que a aferição seja feita por prova documental, sem interferência na gestão da empresa.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Lei 7.753, art. 4º e art. 11, §2º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Confirmar que o POP de Avaliação do Programa de Integridade segue os 16 parâmetros do art. 4º.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12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3(b)</w:t>
            </w:r>
          </w:p>
        </w:tc>
        <w:tc>
          <w:tcPr>
            <w:tcW w:w="4991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Com risco de DDI médio ou alto, o POP diz apenas "verificar a necessidade de alertar" os diretores, sem registro da decisão.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Não há norma específica. RILC, art. 4º, V (diretriz anticorrupção); Estatuto, art. 72, VI e VII (indiretos)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Tornar obrigatória a comunicação à Diretoria e registrar nos autos o aceite do risco e as medidas de mitigação.</w:t>
            </w:r>
          </w:p>
        </w:tc>
      </w:tr>
      <w:tr w:rsidR="00B424BE" w:rsidRPr="00F32515" w:rsidTr="00783EA0">
        <w:trPr>
          <w:cantSplit/>
        </w:trPr>
        <w:tc>
          <w:tcPr>
            <w:tcW w:w="54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13</w:t>
            </w:r>
          </w:p>
        </w:tc>
        <w:tc>
          <w:tcPr>
            <w:tcW w:w="1410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 (Obs. DDI)</w:t>
            </w:r>
          </w:p>
        </w:tc>
        <w:tc>
          <w:tcPr>
            <w:tcW w:w="4991" w:type="dxa"/>
          </w:tcPr>
          <w:p w:rsidR="00B424BE" w:rsidRPr="00F32515" w:rsidRDefault="00B424BE" w:rsidP="00783EA0">
            <w:pPr>
              <w:pStyle w:val="artigo"/>
              <w:spacing w:before="60" w:after="60"/>
              <w:jc w:val="both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O POP dispensa o DDI em quatro situações: contratações abaixo de R$ 20.000,00, aditivos contratuais, adesão a Ata de Registro de Preços e contratações com órgãos da Administração Pública. Nenhuma dessas exceções tem base normativa: o RILC não trata do DDI, e a Lei 7.753/2017 trata do Programa de Integridade do fornecedor, não da diligência feita pela CENTRAL. Além disso, aditivo e adesão a Ata de Registro de Preços não são hipóteses de contratação direta, e a expressão "órgãos da Administração Pública" não deixa claro se inclui as empresas estatais.</w:t>
            </w:r>
          </w:p>
        </w:tc>
        <w:tc>
          <w:tcPr>
            <w:tcW w:w="2126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-</w:t>
            </w:r>
          </w:p>
        </w:tc>
        <w:tc>
          <w:tcPr>
            <w:tcW w:w="4962" w:type="dxa"/>
            <w:vAlign w:val="center"/>
          </w:tcPr>
          <w:p w:rsidR="00B424BE" w:rsidRPr="00F32515" w:rsidRDefault="00B424BE" w:rsidP="00783EA0">
            <w:pPr>
              <w:pStyle w:val="artigo"/>
              <w:spacing w:before="60" w:after="60"/>
              <w:jc w:val="center"/>
              <w:rPr>
                <w:rFonts w:ascii="Arial" w:hAnsi="Arial" w:cs="Arial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-</w:t>
            </w:r>
          </w:p>
        </w:tc>
      </w:tr>
    </w:tbl>
    <w:p w:rsidR="00B424BE" w:rsidRPr="00F32515" w:rsidRDefault="00B424BE" w:rsidP="00B424BE">
      <w:r w:rsidRPr="00F32515">
        <w:t xml:space="preserve">  </w:t>
      </w:r>
    </w:p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/>
    <w:p w:rsidR="00B424BE" w:rsidRPr="00F32515" w:rsidRDefault="00B424BE" w:rsidP="00B424BE">
      <w:pPr>
        <w:jc w:val="both"/>
        <w:rPr>
          <w:b/>
        </w:rPr>
      </w:pPr>
    </w:p>
    <w:p w:rsidR="00B424BE" w:rsidRPr="00F32515" w:rsidRDefault="00B424BE" w:rsidP="00B424BE">
      <w:pPr>
        <w:jc w:val="center"/>
        <w:rPr>
          <w:b/>
          <w:sz w:val="24"/>
        </w:rPr>
      </w:pPr>
      <w:r w:rsidRPr="00F32515">
        <w:rPr>
          <w:b/>
          <w:sz w:val="24"/>
        </w:rPr>
        <w:t>ANÁLISE FRENTE A NOVA PROPOSTA DO RILC QUE SE ENCONTRA EM ANÁLISE DA ASSESSORIA JURÍDICA</w:t>
      </w:r>
    </w:p>
    <w:p w:rsidR="00B424BE" w:rsidRPr="00F32515" w:rsidRDefault="00B424BE" w:rsidP="00B424BE">
      <w:pPr>
        <w:jc w:val="center"/>
        <w:rPr>
          <w:b/>
          <w:sz w:val="24"/>
        </w:rPr>
      </w:pPr>
    </w:p>
    <w:tbl>
      <w:tblPr>
        <w:tblStyle w:val="Tabelacomgrade"/>
        <w:tblW w:w="15163" w:type="dxa"/>
        <w:tblLook w:val="04A0" w:firstRow="1" w:lastRow="0" w:firstColumn="1" w:lastColumn="0" w:noHBand="0" w:noVBand="1"/>
      </w:tblPr>
      <w:tblGrid>
        <w:gridCol w:w="562"/>
        <w:gridCol w:w="1843"/>
        <w:gridCol w:w="10064"/>
        <w:gridCol w:w="2694"/>
      </w:tblGrid>
      <w:tr w:rsidR="00B424BE" w:rsidRPr="00F32515" w:rsidTr="00B424BE">
        <w:tc>
          <w:tcPr>
            <w:tcW w:w="562" w:type="dxa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#</w:t>
            </w:r>
          </w:p>
        </w:tc>
        <w:tc>
          <w:tcPr>
            <w:tcW w:w="1843" w:type="dxa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ETAPA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EFEITO DA MINUTA</w:t>
            </w:r>
          </w:p>
        </w:tc>
        <w:tc>
          <w:tcPr>
            <w:tcW w:w="2694" w:type="dxa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BASE</w:t>
            </w:r>
            <w:r w:rsidR="00F32515">
              <w:rPr>
                <w:rFonts w:ascii="Arial" w:hAnsi="Arial" w:cs="Arial"/>
                <w:b/>
                <w:sz w:val="21"/>
                <w:szCs w:val="21"/>
              </w:rPr>
              <w:t xml:space="preserve"> MINUTA</w:t>
            </w:r>
            <w:bookmarkStart w:id="0" w:name="_GoBack"/>
            <w:bookmarkEnd w:id="0"/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mantém a aprovação pelo Diretor e a ratificação pelo Diretor-Presidente. Acrescenta a "aprovação do Processo de Contratação pelo Diretor-Presidente" na fase preparatória.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233 e 88, XIV (combinado com o art. 86)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1(b) e 1(c)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Mantido, com mudança.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exige a razão da escolha e a justificativa do preço. Mas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retira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regra atual que manda comparar o preço, na inexigibilidade, com o que a futura contratada pratica com outros entes. A pesquisa de preços passa a seguir o Decreto Estadual 48.816/2023 e serve para "referendar os valores propostos para a Contratação Direta".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232, II e III, e 99, II, "b"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1(d)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Muda a análise.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exige, como condição para assinar o contrato, "comprovar que mantém Programa de Integridade, nos termos da Lei 7.753". Isso alinha o POP à minuta, mas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a própria minuta contraria a lei</w:t>
            </w:r>
            <w:r w:rsidRPr="00F32515">
              <w:rPr>
                <w:rFonts w:ascii="Arial" w:hAnsi="Arial" w:cs="Arial"/>
                <w:sz w:val="21"/>
                <w:szCs w:val="21"/>
              </w:rPr>
              <w:t>, que dá 180 dias depois da assinatura para implantar o programa.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252, III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2 e 9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não trata da fiscalização do programa pelo gestor do contrato.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 xml:space="preserve">(Lei 7.753,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6º, 11 e 12)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6 (c)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mantém o extrato no DOERJ e a íntegra no site em 30 dias, e estende a regra a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apostilamentos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254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6 (b) e 6(d)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Reforçado.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mantém a convocação com prazo de 5 dias úteis, prevê assinatura eletrônica </w:t>
            </w: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no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 xml:space="preserve"> SEI e lista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novos documentos obrigatórios para a assinatura</w:t>
            </w:r>
            <w:r w:rsidRPr="00F32515">
              <w:rPr>
                <w:rFonts w:ascii="Arial" w:hAnsi="Arial" w:cs="Arial"/>
                <w:sz w:val="21"/>
                <w:szCs w:val="21"/>
              </w:rPr>
              <w:t>: certidão de cumprimento da cota de aprendiz e comprovação da cota da Lei Estadual 7.258/2016 (pessoas com deficiência e reabilitados).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F32515">
              <w:rPr>
                <w:rFonts w:ascii="Arial" w:hAnsi="Arial" w:cs="Arial"/>
                <w:sz w:val="21"/>
                <w:szCs w:val="21"/>
              </w:rPr>
              <w:t>Arts</w:t>
            </w:r>
            <w:proofErr w:type="spellEnd"/>
            <w:r w:rsidRPr="00F32515">
              <w:rPr>
                <w:rFonts w:ascii="Arial" w:hAnsi="Arial" w:cs="Arial"/>
                <w:sz w:val="21"/>
                <w:szCs w:val="21"/>
              </w:rPr>
              <w:t>. 251, 252 e 253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3 (C) e 6(e)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Mantido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135, parágrafo único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 (b)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retira uma das formas de provar exclusividade: a "pesquisa junto a outros órgãos".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237, II, §§ 1º e 2º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1(c)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Mantido, com mudança de base.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regra de no mínimo </w:t>
            </w:r>
            <w:proofErr w:type="gramStart"/>
            <w:r w:rsidRPr="00F32515">
              <w:rPr>
                <w:rFonts w:ascii="Arial" w:hAnsi="Arial" w:cs="Arial"/>
                <w:sz w:val="21"/>
                <w:szCs w:val="21"/>
              </w:rPr>
              <w:t>3 fornecedores passa</w:t>
            </w:r>
            <w:proofErr w:type="gramEnd"/>
            <w:r w:rsidRPr="00F32515">
              <w:rPr>
                <w:rFonts w:ascii="Arial" w:hAnsi="Arial" w:cs="Arial"/>
                <w:sz w:val="21"/>
                <w:szCs w:val="21"/>
              </w:rPr>
              <w:t xml:space="preserve"> para o art. 101, IV, e a pesquisa de preços passa a seguir o Decreto 48.816/2023.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101, IV e parágrafo único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1(d)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Mantido.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remete à Lei 7.753 sem fixar valores.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252, III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 (d)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Mantido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tabs>
                <w:tab w:val="left" w:pos="1095"/>
              </w:tabs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-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3(b)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Agravado.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Pela minuta, quem recebe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risco de integridade alto não pode participar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de contratações com a CENTRAL, salvo exceções previstas em normas internas. O POP trata o risco alto apenas como "verificar a necessidade de alertar" os diretores.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9º, §1º</w:t>
            </w:r>
          </w:p>
        </w:tc>
      </w:tr>
      <w:tr w:rsidR="00B424BE" w:rsidRPr="00F32515" w:rsidTr="00B424BE">
        <w:tc>
          <w:tcPr>
            <w:tcW w:w="562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32515">
              <w:rPr>
                <w:rFonts w:ascii="Arial" w:hAnsi="Arial" w:cs="Arial"/>
                <w:b/>
                <w:sz w:val="21"/>
                <w:szCs w:val="21"/>
              </w:rPr>
              <w:t>13</w:t>
            </w:r>
          </w:p>
        </w:tc>
        <w:tc>
          <w:tcPr>
            <w:tcW w:w="1843" w:type="dxa"/>
            <w:vAlign w:val="center"/>
          </w:tcPr>
          <w:p w:rsidR="00B424BE" w:rsidRPr="00F32515" w:rsidRDefault="00B424BE" w:rsidP="00783EA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1 (Obs. DDI)</w:t>
            </w:r>
          </w:p>
        </w:tc>
        <w:tc>
          <w:tcPr>
            <w:tcW w:w="10064" w:type="dxa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Agravado.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 diz que todos os interessados em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iniciar e manter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relacionamento com a CENTRAL "serão submetidos" a diligências, sem prever exceções. As exceções do §2º são ao impedimento de quem tem risco alto, não à realização do DDI. Com isso, as quatro dispensas do POP passam a </w:t>
            </w:r>
            <w:r w:rsidRPr="00F32515">
              <w:rPr>
                <w:rStyle w:val="Forte"/>
                <w:rFonts w:ascii="Arial" w:hAnsi="Arial" w:cs="Arial"/>
                <w:sz w:val="21"/>
                <w:szCs w:val="21"/>
              </w:rPr>
              <w:t>contrariar</w:t>
            </w:r>
            <w:r w:rsidRPr="00F32515">
              <w:rPr>
                <w:rFonts w:ascii="Arial" w:hAnsi="Arial" w:cs="Arial"/>
                <w:sz w:val="21"/>
                <w:szCs w:val="21"/>
              </w:rPr>
              <w:t xml:space="preserve"> a minuta: o "manter relacionamento" alcança os aditivos, e "Interessado" é qualquer pessoa física ou jurídica, o que inclui órgãos públicos.</w:t>
            </w:r>
          </w:p>
        </w:tc>
        <w:tc>
          <w:tcPr>
            <w:tcW w:w="2694" w:type="dxa"/>
            <w:vAlign w:val="center"/>
          </w:tcPr>
          <w:p w:rsidR="00B424BE" w:rsidRPr="00F32515" w:rsidRDefault="00B424BE" w:rsidP="00783EA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32515">
              <w:rPr>
                <w:rFonts w:ascii="Arial" w:hAnsi="Arial" w:cs="Arial"/>
                <w:sz w:val="21"/>
                <w:szCs w:val="21"/>
              </w:rPr>
              <w:t>Art. 9º, caput e §2º; art. 10, LXIII (definição de "Interessado")</w:t>
            </w:r>
          </w:p>
        </w:tc>
      </w:tr>
    </w:tbl>
    <w:p w:rsidR="00B424BE" w:rsidRDefault="00B424BE" w:rsidP="00B424BE">
      <w:pPr>
        <w:spacing w:after="60" w:line="360" w:lineRule="auto"/>
      </w:pPr>
    </w:p>
    <w:sectPr w:rsidR="00B424BE">
      <w:footerReference w:type="default" r:id="rId7"/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BAB" w:rsidRDefault="00981BAB">
      <w:r>
        <w:separator/>
      </w:r>
    </w:p>
  </w:endnote>
  <w:endnote w:type="continuationSeparator" w:id="0">
    <w:p w:rsidR="00981BAB" w:rsidRDefault="0098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46A" w:rsidRDefault="00981BAB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32515">
      <w:rPr>
        <w:noProof/>
        <w:sz w:val="16"/>
        <w:szCs w:val="16"/>
      </w:rPr>
      <w:t>6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32515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BAB" w:rsidRDefault="00981BAB">
      <w:r>
        <w:separator/>
      </w:r>
    </w:p>
  </w:footnote>
  <w:footnote w:type="continuationSeparator" w:id="0">
    <w:p w:rsidR="00981BAB" w:rsidRDefault="0098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7B38CC"/>
    <w:multiLevelType w:val="hybridMultilevel"/>
    <w:tmpl w:val="422E5F92"/>
    <w:lvl w:ilvl="0" w:tplc="CF0A3EF0">
      <w:start w:val="1"/>
      <w:numFmt w:val="bullet"/>
      <w:lvlText w:val="•"/>
      <w:lvlJc w:val="left"/>
      <w:pPr>
        <w:ind w:left="500" w:hanging="260"/>
      </w:pPr>
    </w:lvl>
    <w:lvl w:ilvl="1" w:tplc="CCF08E9A">
      <w:numFmt w:val="decimal"/>
      <w:lvlText w:val=""/>
      <w:lvlJc w:val="left"/>
    </w:lvl>
    <w:lvl w:ilvl="2" w:tplc="18829476">
      <w:numFmt w:val="decimal"/>
      <w:lvlText w:val=""/>
      <w:lvlJc w:val="left"/>
    </w:lvl>
    <w:lvl w:ilvl="3" w:tplc="E2740698">
      <w:numFmt w:val="decimal"/>
      <w:lvlText w:val=""/>
      <w:lvlJc w:val="left"/>
    </w:lvl>
    <w:lvl w:ilvl="4" w:tplc="4F200062">
      <w:numFmt w:val="decimal"/>
      <w:lvlText w:val=""/>
      <w:lvlJc w:val="left"/>
    </w:lvl>
    <w:lvl w:ilvl="5" w:tplc="2C9E018C">
      <w:numFmt w:val="decimal"/>
      <w:lvlText w:val=""/>
      <w:lvlJc w:val="left"/>
    </w:lvl>
    <w:lvl w:ilvl="6" w:tplc="BCF0EA68">
      <w:numFmt w:val="decimal"/>
      <w:lvlText w:val=""/>
      <w:lvlJc w:val="left"/>
    </w:lvl>
    <w:lvl w:ilvl="7" w:tplc="32BCA7F0">
      <w:numFmt w:val="decimal"/>
      <w:lvlText w:val=""/>
      <w:lvlJc w:val="left"/>
    </w:lvl>
    <w:lvl w:ilvl="8" w:tplc="416411CA">
      <w:numFmt w:val="decimal"/>
      <w:lvlText w:val=""/>
      <w:lvlJc w:val="left"/>
    </w:lvl>
  </w:abstractNum>
  <w:abstractNum w:abstractNumId="1" w15:restartNumberingAfterBreak="0">
    <w:nsid w:val="5AD267F8"/>
    <w:multiLevelType w:val="hybridMultilevel"/>
    <w:tmpl w:val="A4A62730"/>
    <w:lvl w:ilvl="0" w:tplc="B6BAA306">
      <w:start w:val="1"/>
      <w:numFmt w:val="bullet"/>
      <w:lvlText w:val="●"/>
      <w:lvlJc w:val="left"/>
      <w:pPr>
        <w:ind w:left="720" w:hanging="360"/>
      </w:pPr>
    </w:lvl>
    <w:lvl w:ilvl="1" w:tplc="AD3C57EE">
      <w:start w:val="1"/>
      <w:numFmt w:val="bullet"/>
      <w:lvlText w:val="○"/>
      <w:lvlJc w:val="left"/>
      <w:pPr>
        <w:ind w:left="1440" w:hanging="360"/>
      </w:pPr>
    </w:lvl>
    <w:lvl w:ilvl="2" w:tplc="9D4E4742">
      <w:start w:val="1"/>
      <w:numFmt w:val="bullet"/>
      <w:lvlText w:val="■"/>
      <w:lvlJc w:val="left"/>
      <w:pPr>
        <w:ind w:left="2160" w:hanging="360"/>
      </w:pPr>
    </w:lvl>
    <w:lvl w:ilvl="3" w:tplc="06B818E8">
      <w:start w:val="1"/>
      <w:numFmt w:val="bullet"/>
      <w:lvlText w:val="●"/>
      <w:lvlJc w:val="left"/>
      <w:pPr>
        <w:ind w:left="2880" w:hanging="360"/>
      </w:pPr>
    </w:lvl>
    <w:lvl w:ilvl="4" w:tplc="F2AA0E18">
      <w:start w:val="1"/>
      <w:numFmt w:val="bullet"/>
      <w:lvlText w:val="○"/>
      <w:lvlJc w:val="left"/>
      <w:pPr>
        <w:ind w:left="3600" w:hanging="360"/>
      </w:pPr>
    </w:lvl>
    <w:lvl w:ilvl="5" w:tplc="0240B4D2">
      <w:start w:val="1"/>
      <w:numFmt w:val="bullet"/>
      <w:lvlText w:val="■"/>
      <w:lvlJc w:val="left"/>
      <w:pPr>
        <w:ind w:left="4320" w:hanging="360"/>
      </w:pPr>
    </w:lvl>
    <w:lvl w:ilvl="6" w:tplc="737AA62A">
      <w:start w:val="1"/>
      <w:numFmt w:val="bullet"/>
      <w:lvlText w:val="●"/>
      <w:lvlJc w:val="left"/>
      <w:pPr>
        <w:ind w:left="5040" w:hanging="360"/>
      </w:pPr>
    </w:lvl>
    <w:lvl w:ilvl="7" w:tplc="0BC62E08">
      <w:start w:val="1"/>
      <w:numFmt w:val="bullet"/>
      <w:lvlText w:val="●"/>
      <w:lvlJc w:val="left"/>
      <w:pPr>
        <w:ind w:left="5760" w:hanging="360"/>
      </w:pPr>
    </w:lvl>
    <w:lvl w:ilvl="8" w:tplc="75FE00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46A"/>
    <w:rsid w:val="001F00FE"/>
    <w:rsid w:val="0053346A"/>
    <w:rsid w:val="005F2E4D"/>
    <w:rsid w:val="00667F21"/>
    <w:rsid w:val="007A476C"/>
    <w:rsid w:val="008C378C"/>
    <w:rsid w:val="008F19FC"/>
    <w:rsid w:val="00981BAB"/>
    <w:rsid w:val="00B424BE"/>
    <w:rsid w:val="00C93265"/>
    <w:rsid w:val="00EF1DF6"/>
    <w:rsid w:val="00F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CC6B92-D1E6-44B4-BAF9-61787636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B424BE"/>
    <w:rPr>
      <w:b/>
      <w:bCs/>
    </w:rPr>
  </w:style>
  <w:style w:type="paragraph" w:customStyle="1" w:styleId="artigo">
    <w:name w:val="artigo"/>
    <w:basedOn w:val="Normal"/>
    <w:rsid w:val="00B424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B424B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3025</Words>
  <Characters>16340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do POP de Contratação Direta ou por Inexigibilidade</vt:lpstr>
    </vt:vector>
  </TitlesOfParts>
  <Company/>
  <LinksUpToDate>false</LinksUpToDate>
  <CharactersWithSpaces>19327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do POP de Contratação Direta ou por Inexigibilidade</dc:title>
  <dc:creator>ASSGER/CENTRAL</dc:creator>
  <cp:lastModifiedBy>JOÃO PAULO QUIMA CORRÊA</cp:lastModifiedBy>
  <cp:revision>5</cp:revision>
  <dcterms:created xsi:type="dcterms:W3CDTF">2026-09-30T17:54:00Z</dcterms:created>
  <dcterms:modified xsi:type="dcterms:W3CDTF">2026-10-01T13:59:00Z</dcterms:modified>
</cp:coreProperties>
</file>