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FECHAMENTO</w:t>
      </w:r>
    </w:p>
    <w:p>
      <w:r>
        <w:rPr>
          <w:i/>
          <w:color w:val="0000FF"/>
          <w:sz w:val="19"/>
        </w:rPr>
        <w:t>Em azul: trechos a verificar ou alterar, numerados conforme o quadro ao final. As observações também estão nos comentários do Word.</w:t>
      </w:r>
    </w:p>
    <w:p>
      <w:pPr>
        <w:spacing w:after="200"/>
        <w:jc w:val="both"/>
      </w:pPr>
      <w:commentRangeStart w:id="0"/>
      <w:r>
        <w:rPr>
          <w:color w:val="0000FF"/>
        </w:rPr>
        <w:t>No sétimo mês de discussão</w:t>
      </w:r>
      <w:commentRangeEnd w:id="0"/>
      <w:r>
        <w:rPr>
          <w:rStyle w:val="CommentReference"/>
        </w:rPr>
        <w:commentReference w:id="0"/>
      </w:r>
      <w:r>
        <w:rPr>
          <w:color w:val="0000FF"/>
          <w:sz w:val="16"/>
          <w:vertAlign w:val="superscript"/>
        </w:rPr>
        <w:t xml:space="preserve"> [1]</w:t>
      </w:r>
      <w:r>
        <w:t xml:space="preserve">, a gerente de projeto do organismo financiador perguntou, mais uma vez, quando o processo seria concluído. O tom era de urgência e leve reprovação, como se o atraso fosse responsabilidade da presidente da Comissão, e não da própria cadeia de indefinições que a antecedeu. </w:t>
      </w:r>
      <w:commentRangeStart w:id="1"/>
      <w:r>
        <w:rPr>
          <w:color w:val="0000FF"/>
        </w:rPr>
        <w:t>A mensagem era curta. “Pelo cronograma que vocês mesmos apresentaram, o projeto já deveria estar em andamento. Quando a licitação será concluída? Preciso de uma posição esta semana”</w:t>
      </w:r>
      <w:commentRangeEnd w:id="1"/>
      <w:r>
        <w:rPr>
          <w:rStyle w:val="CommentReference"/>
        </w:rPr>
        <w:commentReference w:id="1"/>
      </w:r>
      <w:r>
        <w:rPr>
          <w:color w:val="0000FF"/>
          <w:sz w:val="16"/>
          <w:vertAlign w:val="superscript"/>
        </w:rPr>
        <w:t xml:space="preserve"> [2]</w:t>
      </w:r>
    </w:p>
    <w:p>
      <w:pPr>
        <w:spacing w:after="200"/>
        <w:jc w:val="both"/>
      </w:pPr>
      <w:r>
        <w:t xml:space="preserve">Luciana voltou à planilha. </w:t>
      </w:r>
      <w:commentRangeStart w:id="2"/>
      <w:r>
        <w:rPr>
          <w:color w:val="0000FF"/>
        </w:rPr>
        <w:t>A linha continuava em branco</w:t>
      </w:r>
      <w:commentRangeEnd w:id="2"/>
      <w:r>
        <w:rPr>
          <w:rStyle w:val="CommentReference"/>
        </w:rPr>
        <w:commentReference w:id="2"/>
      </w:r>
      <w:r>
        <w:rPr>
          <w:color w:val="0000FF"/>
          <w:sz w:val="16"/>
          <w:vertAlign w:val="superscript"/>
        </w:rPr>
        <w:t xml:space="preserve"> [3]</w:t>
      </w:r>
      <w:r>
        <w:t>, e as saídas que tinha à frente eram poucas e nenhuma confortável:</w:t>
      </w:r>
    </w:p>
    <w:p>
      <w:pPr>
        <w:pStyle w:val="ListBullet"/>
        <w:spacing w:after="120"/>
        <w:jc w:val="both"/>
      </w:pPr>
      <w:r>
        <w:t>Fechar a proposta considerando que não havia tributo a recolher, como sustentava o especialista do financiador.</w:t>
      </w:r>
    </w:p>
    <w:p>
      <w:pPr>
        <w:pStyle w:val="ListBullet"/>
        <w:spacing w:after="120"/>
        <w:jc w:val="both"/>
      </w:pPr>
      <w:r>
        <w:t>Fechar a proposta incluindo uma estimativa de tributos, como defendia a consultoria, sem saber ao certo quais e em que valor.</w:t>
      </w:r>
    </w:p>
    <w:p>
      <w:pPr>
        <w:pStyle w:val="ListBullet"/>
        <w:spacing w:after="120"/>
        <w:jc w:val="both"/>
      </w:pPr>
      <w:commentRangeStart w:id="3"/>
      <w:r>
        <w:rPr>
          <w:color w:val="0000FF"/>
        </w:rPr>
        <w:t>Fechar o preço sem tributos e prever no contrato uma cláusula de ajuste para quando houvesse definição.</w:t>
      </w:r>
      <w:commentRangeEnd w:id="3"/>
      <w:r>
        <w:rPr>
          <w:rStyle w:val="CommentReference"/>
        </w:rPr>
        <w:commentReference w:id="3"/>
      </w:r>
      <w:r>
        <w:rPr>
          <w:color w:val="0000FF"/>
          <w:sz w:val="16"/>
          <w:vertAlign w:val="superscript"/>
        </w:rPr>
        <w:t xml:space="preserve"> [4]</w:t>
      </w:r>
    </w:p>
    <w:p>
      <w:pPr>
        <w:pStyle w:val="ListBullet"/>
        <w:spacing w:after="120"/>
        <w:jc w:val="both"/>
      </w:pPr>
      <w:commentRangeStart w:id="4"/>
      <w:r>
        <w:rPr>
          <w:color w:val="0000FF"/>
        </w:rPr>
        <w:t>Devolver formalmente a decisão à diretoria, com o registro completo das consultas, para que ela assumisse.</w:t>
      </w:r>
      <w:commentRangeEnd w:id="4"/>
      <w:r>
        <w:rPr>
          <w:rStyle w:val="CommentReference"/>
        </w:rPr>
        <w:commentReference w:id="4"/>
      </w:r>
      <w:r>
        <w:rPr>
          <w:color w:val="0000FF"/>
          <w:sz w:val="16"/>
          <w:vertAlign w:val="superscript"/>
        </w:rPr>
        <w:t xml:space="preserve"> [5]</w:t>
      </w:r>
    </w:p>
    <w:p>
      <w:pPr>
        <w:pStyle w:val="ListBullet"/>
        <w:spacing w:after="120"/>
        <w:jc w:val="both"/>
      </w:pPr>
      <w:r>
        <w:t>Esperar a resposta do Bradesco e da Fazenda, com o prazo correndo.</w:t>
      </w:r>
    </w:p>
    <w:p>
      <w:pPr>
        <w:spacing w:after="200"/>
        <w:jc w:val="both"/>
      </w:pPr>
      <w:r>
        <w:t>O que Luciana deveria fazer? E quem, nessa história toda, deveria ter respondido pela pergunta?</w:t>
      </w:r>
    </w:p>
    <w:p>
      <w:pPr>
        <w:spacing w:before="320"/>
      </w:pPr>
      <w:r>
        <w:rPr>
          <w:b/>
        </w:rPr>
        <w:t>Quadro de alterações sugeridas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fill="D9E2F3"/>
          </w:tcPr>
          <w:p>
            <w:r/>
            <w:r>
              <w:rPr>
                <w:b/>
                <w:sz w:val="20"/>
              </w:rPr>
              <w:t>Nº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b/>
                <w:sz w:val="20"/>
              </w:rPr>
              <w:t>Trecho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3231"/>
            <w:shd w:val="clear" w:fill="D9E2F3"/>
          </w:tcPr>
          <w:p>
            <w:r/>
            <w:r>
              <w:rPr>
                <w:b/>
                <w:sz w:val="20"/>
              </w:rPr>
              <w:t>Sugestão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“No sétimo mês de discussão”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 cobrança documentada da gerente é de 23 e 28/09/2021 (nono mês).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“No nono mês de discussão [...]” ou deslocar a cena para julho, se houver registro.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“A mensagem era curta. ‘Pelo cronograma [...] esta semana’”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Citação não encontrada nos arquivos; as falas dela são outras.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Assinalar como reconstituição (“uma mensagem como esta”) ou citar o original.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“A linha continuava em branco”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 linha não estava em branco; a consultoria a preenchera.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 linha continuava sem solução”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“Fechar o preço sem tributos e prever [...] cláusula de ajuste”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 saída tem registro (proposta da consultoria de 14/07/2021). A lista omite o que de fato foi feito: reuniões com Banco, SEFAZ e Casa Civil, consulta à Receita e a proposta de 13/09 (ISS e IRRF com glosa).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Acrescentar: “(proposta que a própria consultoria fizera em julho)”. Considerar uma saída a mais: “Levar o impasse ao Banco, à Fazenda e à Casa Civil numa mesma mesa.”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“Devolver formalmente a decisão à diretoria [...] para que ela assumisse”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 diretoria financeira já fora consultada desde 21 e 24/06/2021.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Indicar a quem se devolve (Presidência ou diretoria) e que a diretoria financeira já havia repassado a pergunta.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L" w:date="2026-10-20T23:52:38Z">
    <w:p>
      <w:pPr>
        <w:pStyle w:val="CommentText"/>
      </w:pPr>
      <w:r>
        <w:rPr>
          <w:rStyle w:val="CommentReference"/>
        </w:rPr>
        <w:annotationRef/>
      </w:r>
      <w:r>
        <w:t>Conferir a data da cena. “Sétimo mês” (contando de janeiro) é julho de 2021, coerente com a introdução; mas as únicas mensagens da gerente nos arquivos são de 23/09 e 28/09/2021, que caem no nono mês. Sugestão: ou “No nono mês”, ou deslocar a cobrança para julho, se houver registro.</w:t>
      </w:r>
    </w:p>
  </w:comment>
  <w:comment w:id="1" w:author="Claude" w:initials="CL" w:date="2026-10-20T23:52:38Z">
    <w:p>
      <w:pPr>
        <w:pStyle w:val="CommentText"/>
      </w:pPr>
      <w:r>
        <w:rPr>
          <w:rStyle w:val="CommentReference"/>
        </w:rPr>
        <w:annotationRef/>
      </w:r>
      <w:r>
        <w:t>Esta mensagem não consta dos arquivos: as falas dela são “Podemos/devemos tratar disso na reunião de segunda-feira, 27/9” (23/09/2021) e “Podem seguir com o que você sugeriu [...]” (28/09/2021). A Nota Técnica (item 123) só resume a cobrança. Se for reconstituição, dizer “uma mensagem como esta” ou assinalar que é ficcional; se existir, citar o original (Apêndice E.5).</w:t>
      </w:r>
    </w:p>
  </w:comment>
  <w:comment w:id="2" w:author="Claude" w:initials="CL" w:date="2026-10-20T23:52:38Z">
    <w:p>
      <w:pPr>
        <w:pStyle w:val="CommentText"/>
      </w:pPr>
      <w:r>
        <w:rPr>
          <w:rStyle w:val="CommentReference"/>
        </w:rPr>
        <w:annotationRef/>
      </w:r>
      <w:r>
        <w:t>Coerência com a correção da introdução: a linha não estava em branco; a consultoria a preenchera e a Comissão não podia aceitá-la. Sugestão: “A linha continuava sem solução”.</w:t>
      </w:r>
    </w:p>
  </w:comment>
  <w:comment w:id="3" w:author="Claude" w:initials="CL" w:date="2026-10-20T23:52:38Z">
    <w:p>
      <w:pPr>
        <w:pStyle w:val="CommentText"/>
      </w:pPr>
      <w:r>
        <w:rPr>
          <w:rStyle w:val="CommentReference"/>
        </w:rPr>
        <w:annotationRef/>
      </w:r>
      <w:r>
        <w:t>Esta saída tem registro: a própria consultoria propôs, em 14/07/2021, não acrescentar impostos agora, com revisão posterior se houvesse retenção (Anexo 27_2). Além disso, a lista omite o caminho que a Comissão de fato seguiu: reuniões com o Banco e a SEFAZ (27/07), com a SEFAZ e a Casa Civil (26/08), consulta informal à Receita e, em 13/09/2021, a proposta de incluir ISS e IRRF com glosa ou aditivo.</w:t>
      </w:r>
    </w:p>
  </w:comment>
  <w:comment w:id="4" w:author="Claude" w:initials="CL" w:date="2026-10-20T23:52:38Z">
    <w:p>
      <w:pPr>
        <w:pStyle w:val="CommentText"/>
      </w:pPr>
      <w:r>
        <w:rPr>
          <w:rStyle w:val="CommentReference"/>
        </w:rPr>
        <w:annotationRef/>
      </w:r>
      <w:r>
        <w:t>Esclarecer “a diretoria”. A diretoria financeira (DIRAF) já havia sido consultada desde 21 e 24/06/2021 e repassara a pergunta à Fazenda. Nos documentos, a Comissão despachava com o cabeçalho da Presidência. Sugestão: indicar a quem seria devolvida a decisão (Presidência ou diretoria).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