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fill="D9E2F3"/>
          </w:tcPr>
          <w:p>
            <w:r/>
            <w:r>
              <w:rPr>
                <w:b/>
              </w:rPr>
              <w:t>Item (US$)</w:t>
            </w:r>
          </w:p>
        </w:tc>
        <w:tc>
          <w:tcPr>
            <w:tcW w:type="dxa" w:w="2040"/>
            <w:shd w:val="clear" w:fill="D9E2F3"/>
          </w:tcPr>
          <w:p>
            <w:r/>
            <w:r>
              <w:rPr>
                <w:b/>
              </w:rPr>
              <w:t>Banco: não há imposto</w:t>
            </w:r>
          </w:p>
        </w:tc>
        <w:tc>
          <w:tcPr>
            <w:tcW w:type="dxa" w:w="2040"/>
            <w:shd w:val="clear" w:fill="D9E2F3"/>
          </w:tcPr>
          <w:p>
            <w:r/>
            <w:r>
              <w:rPr>
                <w:b/>
              </w:rPr>
              <w:t>Consultoria: IR e ISS</w:t>
            </w:r>
          </w:p>
        </w:tc>
        <w:tc>
          <w:tcPr>
            <w:tcW w:type="dxa" w:w="2040"/>
            <w:shd w:val="clear" w:fill="D9E2F3"/>
          </w:tcPr>
          <w:p>
            <w:r/>
            <w:r>
              <w:rPr>
                <w:b/>
              </w:rPr>
              <w:t>PGE: o que é devido</w:t>
            </w:r>
          </w:p>
        </w:tc>
        <w:tc>
          <w:tcPr>
            <w:tcW w:type="dxa" w:w="2040"/>
            <w:shd w:val="clear" w:fill="D9E2F3"/>
          </w:tcPr>
          <w:p>
            <w:r/>
            <w:r>
              <w:rPr>
                <w:b/>
              </w:rPr>
              <w:t>Contrato assinado</w:t>
            </w:r>
          </w:p>
        </w:tc>
      </w:tr>
      <w:tr>
        <w:tc>
          <w:tcPr>
            <w:tcW w:type="dxa" w:w="2040"/>
          </w:tcPr>
          <w:p>
            <w:r/>
            <w:r>
              <w:t>IRRF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23.479,41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14.255,00 (10%)</w:t>
            </w:r>
          </w:p>
        </w:tc>
      </w:tr>
      <w:tr>
        <w:tc>
          <w:tcPr>
            <w:tcW w:type="dxa" w:w="2040"/>
          </w:tcPr>
          <w:p>
            <w:r/>
            <w:r>
              <w:t>ISS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7.002,63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7.127,50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4.276,50 (3%)</w:t>
            </w:r>
          </w:p>
        </w:tc>
      </w:tr>
      <w:tr>
        <w:tc>
          <w:tcPr>
            <w:tcW w:type="dxa" w:w="2040"/>
          </w:tcPr>
          <w:p>
            <w:r/>
            <w:r>
              <w:t>PIS/COFINS-Importação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13.185,88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</w:tr>
      <w:tr>
        <w:tc>
          <w:tcPr>
            <w:tcW w:type="dxa" w:w="2040"/>
          </w:tcPr>
          <w:p>
            <w:r/>
            <w:r>
              <w:t>CIDE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14.255,00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</w:tr>
      <w:tr>
        <w:tc>
          <w:tcPr>
            <w:tcW w:type="dxa" w:w="2040"/>
          </w:tcPr>
          <w:p>
            <w:r/>
            <w:r>
              <w:t>IOF-Câmbio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t>0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/>
              </w:rPr>
              <w:t>Total de impostos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30.482,04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34.568,38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18.531,50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/>
              </w:rPr>
              <w:t>Custo total para a empresa pública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142.550,00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173.032,04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177.118,38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161.081,50</w:t>
            </w:r>
          </w:p>
        </w:tc>
      </w:tr>
      <w:tr>
        <w:tc>
          <w:tcPr>
            <w:tcW w:type="dxa" w:w="2040"/>
          </w:tcPr>
          <w:p>
            <w:r/>
            <w:r>
              <w:rPr>
                <w:b/>
              </w:rPr>
              <w:t>Diferença em relação à posição do Banco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0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+21,4%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+24,3%</w:t>
            </w:r>
          </w:p>
        </w:tc>
        <w:tc>
          <w:tcPr>
            <w:tcW w:type="dxa" w:w="2040"/>
          </w:tcPr>
          <w:p>
            <w:pPr>
              <w:jc w:val="right"/>
            </w:pPr>
            <w:r/>
            <w:r>
              <w:rPr>
                <w:b/>
              </w:rPr>
              <w:t>+13,0%</w:t>
            </w:r>
          </w:p>
        </w:tc>
      </w:tr>
    </w:tbl>
    <w:p>
      <w:r>
        <w:rPr>
          <w:i/>
          <w:sz w:val="18"/>
        </w:rPr>
        <w:t>Valores em US$, sobre a parcela em dólar do contrato (US$ 142.550,00, excluídos os impostos), paga diretamente ao exterior pelo Banco Mundial. Banco: posição do especialista em licitações do Banco (pagamento direto em dólar, sem imposto brasileiro). Consultoria: impostos estrangeiros da planilha detalhada do consórcio (IR de US$ 23.479,41 e ISS de US$ 7.002,63). PGE: Parecer nº 14/2023 da ASSJUR, aprovado pela PGE em 23/05/2023, segundo o qual não incidem IRRF, CSLL nem IOF (não houve câmbio) e incidem PIS/COFINS-Importação, ISS e CIDE-royalties, a cargo da CENTRAL. Os pareceres não trazem alíquotas de ISS e PIS/COFINS; foram usadas as premissas ISS de 5%, PIS/COFINS de 9,25% e CIDE de 10%, sem cálculo “por dentro”. Contrato assinado: ISS (US$ 4.276,50) e IRRF (US$ 14.255,00) incluídos no contrato. Se a consultoria recolhesse os tributos e fosse reembolsada, com cálculo por dentro, o custo da posição da PGE subiria para cerca de US$ 188.184,82 (+32,0%). Valores em dólar por simplificação; os tributos são calculados em reais, na data do pagamento. Totais somam as linhas arredondadas.</w:t>
      </w:r>
    </w:p>
    <w:sectPr w:rsidR="00FC693F" w:rsidRPr="0006063C" w:rsidSect="00034616">
      <w:pgSz w:w="12240" w:h="15840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