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2E2" w:rsidRDefault="00662DDA">
      <w:pPr>
        <w:spacing w:after="60"/>
      </w:pPr>
      <w:r>
        <w:rPr>
          <w:b/>
          <w:bCs/>
          <w:color w:val="1F3864"/>
          <w:sz w:val="34"/>
          <w:szCs w:val="34"/>
        </w:rPr>
        <w:t>CENTRAL – Companhia Estadual de Engenharia de Transportes e Logística</w:t>
      </w:r>
    </w:p>
    <w:p w:rsidR="003752E2" w:rsidRDefault="00662DDA">
      <w:pPr>
        <w:spacing w:after="80"/>
      </w:pPr>
      <w:r>
        <w:rPr>
          <w:b/>
          <w:bCs/>
          <w:color w:val="2F5496"/>
          <w:sz w:val="26"/>
          <w:szCs w:val="26"/>
        </w:rPr>
        <w:t>Organograma, competências, unidades vinculadas, fundos, dirigentes e pontos focais</w:t>
      </w:r>
    </w:p>
    <w:p w:rsidR="003752E2" w:rsidRDefault="00662DDA">
      <w:pPr>
        <w:spacing w:after="120"/>
      </w:pPr>
      <w:r>
        <w:rPr>
          <w:color w:val="555555"/>
          <w:sz w:val="19"/>
          <w:szCs w:val="19"/>
        </w:rPr>
        <w:t>Resposta ao Ofício nº 02/2026 da Equipe de Transição (item 1) · Of. SETRAM/GABSEC nº 838/2026 · Prazo informado: 28/10/2026</w:t>
      </w:r>
    </w:p>
    <w:p w:rsidR="003752E2" w:rsidRDefault="00662DDA">
      <w:pPr>
        <w:pStyle w:val="Ttulo1"/>
        <w:spacing w:before="240" w:after="120"/>
      </w:pPr>
      <w:r>
        <w:t>Introdução</w:t>
      </w:r>
    </w:p>
    <w:p w:rsidR="003752E2" w:rsidRDefault="00662DDA" w:rsidP="0071132B">
      <w:pPr>
        <w:jc w:val="both"/>
      </w:pPr>
      <w:r>
        <w:t>O Regimento Interno da CENTRAL, que dispõe sobre a estrutura organizacional e as compet</w:t>
      </w:r>
      <w:r>
        <w:t>ências de suas unidades, encontra-se em processo de atualização</w:t>
      </w:r>
      <w:r w:rsidR="0071132B">
        <w:t xml:space="preserve"> (processo SEI </w:t>
      </w:r>
      <w:r w:rsidR="0071132B">
        <w:rPr>
          <w:rFonts w:cstheme="minorHAnsi"/>
          <w:color w:val="000000"/>
        </w:rPr>
        <w:t>SEI-</w:t>
      </w:r>
      <w:r w:rsidR="0071132B">
        <w:rPr>
          <w:rFonts w:cstheme="minorHAnsi"/>
          <w:color w:val="000000"/>
        </w:rPr>
        <w:t>100006/000240/2022)</w:t>
      </w:r>
      <w:r>
        <w:t>. Por isso, parte da estrutura em funcionamento ainda não está refletida no texto do Regimento vigente (versão de 2024).</w:t>
      </w:r>
    </w:p>
    <w:p w:rsidR="0071132B" w:rsidRPr="0071132B" w:rsidRDefault="0071132B" w:rsidP="0071132B">
      <w:pPr>
        <w:jc w:val="both"/>
        <w:rPr>
          <w:rFonts w:cstheme="minorHAnsi"/>
          <w:color w:val="000000"/>
        </w:rPr>
      </w:pPr>
    </w:p>
    <w:p w:rsidR="003752E2" w:rsidRDefault="00662DDA" w:rsidP="0071132B">
      <w:pPr>
        <w:spacing w:after="160"/>
        <w:jc w:val="both"/>
      </w:pPr>
      <w:r>
        <w:t>Para responder ao item 1 do Ofício nº 02/2026 da Equipe de Transição, es</w:t>
      </w:r>
      <w:r>
        <w:t>te documento adota o seguinte critério: a estrutura organizacional (organograma) segue a configuração atual, divulgada no site da CENTRAL e confirmada pela própria Companhia. Já as competências das unidades são as constantes do Regimento Interno e do Estat</w:t>
      </w:r>
      <w:r>
        <w:t>uto Social vigentes. Nas unidades criadas ou renomeadas após o Regimento (Corregedoria, Assessoria de Comunicação Social e Assessoria de Serviço Social, Segurança e Medicina do Trabalho), as competências ainda não estão formalizadas e serão atualizadas com</w:t>
      </w:r>
      <w:r>
        <w:t xml:space="preserve"> a conclusão da revisão do Regimento.</w:t>
      </w:r>
    </w:p>
    <w:p w:rsidR="003752E2" w:rsidRDefault="00662DDA">
      <w:pPr>
        <w:pStyle w:val="Ttulo1"/>
        <w:spacing w:before="240" w:after="120"/>
      </w:pPr>
      <w:r>
        <w:t>1. Identificação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Natureza: empresa pública de capital fechado, integrante da Administração Indireta do Estado do Rio de Janeiro, vinculada à Secretaria de Estado de Transportes (Estatuto, art. 1º).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Regime: Lei nº 13.30</w:t>
      </w:r>
      <w:r>
        <w:t>3/2016, Lei nº 6.404/1976, Decreto Estadual nº 46.188/2017 e legislação aplicável.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Objeto: planejar, projetar e fiscalizar a construção e a implantação do sistema de transporte sobre trilhos ou guiados no Estado, e executar atividades conexas: estudos, con</w:t>
      </w:r>
      <w:r>
        <w:t>servação e reparação de equipamentos essenciais, implantação de sistemas de transportes e terminais de passageiros (Estatuto, art. 3º).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Sede e foro: cidade do Rio de Janeiro (Estatuto, art. 2º).</w:t>
      </w:r>
    </w:p>
    <w:p w:rsidR="005D485F" w:rsidRDefault="00662DDA">
      <w:pPr>
        <w:pStyle w:val="PargrafodaLista"/>
        <w:numPr>
          <w:ilvl w:val="0"/>
          <w:numId w:val="2"/>
        </w:numPr>
        <w:spacing w:after="50"/>
        <w:sectPr w:rsidR="005D485F" w:rsidSect="005D485F">
          <w:footerReference w:type="default" r:id="rId7"/>
          <w:pgSz w:w="11906" w:h="16838"/>
          <w:pgMar w:top="720" w:right="900" w:bottom="720" w:left="900" w:header="708" w:footer="708" w:gutter="0"/>
          <w:cols w:space="720"/>
          <w:docGrid w:linePitch="360"/>
        </w:sectPr>
      </w:pPr>
      <w:r>
        <w:t>Documentos de referência: Estatuto Social (POL-CENTRAL-001, a</w:t>
      </w:r>
      <w:r>
        <w:t>provado pelo CONADM em 11/11/2024) e Regimento Interno (SEI nº 77097301).</w:t>
      </w:r>
    </w:p>
    <w:p w:rsidR="003752E2" w:rsidRDefault="003752E2"/>
    <w:p w:rsidR="003752E2" w:rsidRDefault="00662DDA">
      <w:pPr>
        <w:pStyle w:val="Ttulo1"/>
        <w:spacing w:before="240" w:after="120"/>
      </w:pPr>
      <w:r>
        <w:t>2. Organograma</w:t>
      </w:r>
    </w:p>
    <w:p w:rsidR="003752E2" w:rsidRDefault="00662DDA">
      <w:pPr>
        <w:pStyle w:val="Ttulo2"/>
        <w:spacing w:before="180" w:after="80"/>
      </w:pPr>
      <w:r>
        <w:t>2.1 Visão geral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7429500" cy="5267881"/>
            <wp:effectExtent l="0" t="0" r="0" b="0"/>
            <wp:docPr id="1" name="f1.png" descr="Organograma" title="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526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r>
        <w:br w:type="page"/>
      </w:r>
    </w:p>
    <w:p w:rsidR="003752E2" w:rsidRDefault="00662DDA">
      <w:pPr>
        <w:pStyle w:val="Ttulo2"/>
        <w:spacing w:before="180" w:after="80"/>
      </w:pPr>
      <w:r>
        <w:lastRenderedPageBreak/>
        <w:t>2.2 Diretoria da Presidência (PRESI)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8572500" cy="2038350"/>
            <wp:effectExtent l="0" t="0" r="0" b="0"/>
            <wp:docPr id="2" name="f_presi.png" descr="Organograma" title="f_pre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pPr>
        <w:pStyle w:val="Ttulo2"/>
        <w:spacing w:before="180" w:after="80"/>
      </w:pPr>
      <w:r>
        <w:t>2.3 Diretoria de Administração e Finanças (DIRAF)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8572500" cy="2647950"/>
            <wp:effectExtent l="0" t="0" r="0" b="0"/>
            <wp:docPr id="3" name="f_diraf.png" descr="Organograma" title="f_dir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r>
        <w:br w:type="page"/>
      </w:r>
    </w:p>
    <w:p w:rsidR="003752E2" w:rsidRDefault="00662DDA">
      <w:pPr>
        <w:pStyle w:val="Ttulo2"/>
        <w:spacing w:before="180" w:after="80"/>
      </w:pPr>
      <w:r>
        <w:lastRenderedPageBreak/>
        <w:t>2.4 Diretoria de Engenharia e Operação (DIREO)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7620000" cy="2493754"/>
            <wp:effectExtent l="0" t="0" r="0" b="0"/>
            <wp:docPr id="4" name="f_direo.png" descr="Organograma" title="f_dire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49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pPr>
        <w:spacing w:after="80"/>
      </w:pPr>
      <w:r>
        <w:rPr>
          <w:color w:val="555555"/>
          <w:sz w:val="19"/>
          <w:szCs w:val="19"/>
          <w:b/>
        </w:rPr>
        <w:t xml:space="preserve">Nota: </w:t>
      </w:r>
      <w:r>
        <w:rPr>
          <w:color w:val="555555"/>
          <w:sz w:val="19"/>
          <w:szCs w:val="19"/>
        </w:rPr>
        <w:t xml:space="preserve">a Resolução do Conselho de Administração nº 01, de 08/09/2026 (SEI nº 141008614), aprovou a nova estrutura organizacional da CENTRAL, com vigência a partir de 01/10/2026. Nessa estrutura foram criadas a Superintendência do Sistema de Bondes de Santa Teresa (SUPBON), com as Gerências de Manutenção (GERMAB) e de Operação (GEROPB), e a Superintendência do Sistema do Teleférico do Alemão (SUPTEL), com as Gerências de Manutenção (GERMTE) e de Operação (GEROTE), em destaque no organograma. As atribuições dessas unidades ainda não foram definidas.</w:t>
      </w:r>
    </w:p>
    <w:p w:rsidR="003752E2" w:rsidRDefault="00662DDA">
      <w:pPr>
        <w:pStyle w:val="Ttulo2"/>
        <w:spacing w:before="180" w:after="80"/>
      </w:pPr>
      <w:r>
        <w:t>2.5 Diretoria de Planejamento (DIRPLA)</w:t>
      </w:r>
    </w:p>
    <w:p w:rsidR="003752E2" w:rsidRDefault="00662DDA">
      <w:pPr>
        <w:spacing w:after="80"/>
        <w:jc w:val="center"/>
      </w:pPr>
      <w:r>
        <w:rPr>
          <w:noProof/>
        </w:rPr>
        <w:drawing>
          <wp:inline distT="0" distB="0" distL="0" distR="0">
            <wp:extent cx="3048000" cy="2085975"/>
            <wp:effectExtent l="0" t="0" r="0" b="0"/>
            <wp:docPr id="5" name="f_dirpla.png" descr="Organograma" title="f_dirp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2E2" w:rsidRDefault="00662DDA">
      <w:r>
        <w:br w:type="page"/>
      </w:r>
    </w:p>
    <w:p w:rsidR="003752E2" w:rsidRDefault="00662DDA">
      <w:pPr>
        <w:pStyle w:val="Ttulo1"/>
        <w:spacing w:before="240" w:after="120"/>
      </w:pPr>
      <w:r>
        <w:lastRenderedPageBreak/>
        <w:t>3. Unidades, competências, dirigentes e pontos focais</w:t>
      </w:r>
    </w:p>
    <w:p w:rsidR="003752E2" w:rsidRDefault="00662DDA">
      <w:pPr>
        <w:spacing w:after="80"/>
      </w:pPr>
      <w:r>
        <w:rPr>
          <w:color w:val="555555"/>
          <w:sz w:val="19"/>
          <w:szCs w:val="19"/>
        </w:rPr>
        <w:t>Competências resumidas do Regimento Interno; o texto integral está no artigo indicado na coluna Base.</w:t>
      </w:r>
    </w:p>
    <w:p w:rsidR="003752E2" w:rsidRDefault="00662DDA">
      <w:pPr>
        <w:spacing w:after="80"/>
      </w:pPr>
      <w:r>
        <w:rPr>
          <w:color w:val="555555"/>
          <w:sz w:val="19"/>
          <w:szCs w:val="19"/>
          <w:b/>
        </w:rPr>
        <w:t xml:space="preserve">Nota: </w:t>
      </w:r>
      <w:r>
        <w:rPr>
          <w:color w:val="555555"/>
          <w:sz w:val="19"/>
          <w:szCs w:val="19"/>
        </w:rPr>
        <w:t xml:space="preserve">as unidades SUPBON, GERMAB, GEROPB, SUPTEL, GERMTE e GEROTE, criadas pela Resolução do Conselho de Administração nº 01/2026, não constam deste quadro porque suas atribuições ainda não foram definidas (ver nota na seção 2.4). A SUPTRA, a GERMAT e a GEROPT não constam da estrutura aprovada por essa Resolução; seus textos refletem o Regimento Interno de 2024.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2627"/>
        <w:gridCol w:w="1839"/>
        <w:gridCol w:w="5816"/>
        <w:gridCol w:w="1039"/>
        <w:gridCol w:w="1539"/>
        <w:gridCol w:w="1291"/>
      </w:tblGrid>
      <w:tr w:rsidR="003752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Sigla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Unidade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Subordinação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Competências principais (resum</w:t>
            </w:r>
            <w:r>
              <w:rPr>
                <w:b/>
                <w:bCs/>
                <w:color w:val="FFFFFF"/>
                <w:sz w:val="17"/>
                <w:szCs w:val="17"/>
              </w:rPr>
              <w:t>o do Regimento)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Base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Dirigente (nome / cargo)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7"/>
                <w:szCs w:val="17"/>
              </w:rPr>
              <w:t>Ponto focal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1. Órgãos superiores de deliberação colegiada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AG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Assembleia Geral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—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Delibera sobre transformação, fusão, cisão e dissolução; reforma do estatuto; eleição e destituição de conselheiros e membros do Comitê de Auditoria; remuneração dos administradores; contas e demonstrações financeiras do exercício; alienação de imóveis vin</w:t>
            </w:r>
            <w:r>
              <w:rPr>
                <w:sz w:val="17"/>
                <w:szCs w:val="17"/>
              </w:rPr>
              <w:t>culados ao serviço.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3º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CONADM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Assembleia Geral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Fixa a orientação geral dos negócios; elege e destitui a Diretoria Executiva; fiscaliza a gestão; aprova plano de negócios e estratégico, políticas (inclusive de riscos e conformidade), Regimento Interno e Regulamento de Licitações; nomeia o titular da Aud</w:t>
            </w:r>
            <w:r>
              <w:rPr>
                <w:sz w:val="17"/>
                <w:szCs w:val="17"/>
              </w:rPr>
              <w:t>itoria Interna; cria e elege os comitês de suporte.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4º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CONFIS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Conselho Fiscal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Assembleia Geral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Fiscaliza os atos dos administradores; opina sobre o relatório anual e as demonstrações financeiras; analisa balancetes trimestrais; examina o plano e o relatório de auditoria interna; acompanha a execução patrimonial, financeira e orçamentária.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 xml:space="preserve">Reg. art. </w:t>
            </w:r>
            <w:r>
              <w:rPr>
                <w:sz w:val="17"/>
                <w:szCs w:val="17"/>
              </w:rPr>
              <w:t>5º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DIREXE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 xml:space="preserve">Gere as atividades da Companhia e avalia resultados; monitora riscos estratégicos e sustentabilidade; prepara os assuntos para o Conselho; apresenta o plano de negócios e a estratégia de longo prazo; submete a estrutura organizacional ao Conselho; elabora </w:t>
            </w:r>
            <w:r>
              <w:rPr>
                <w:sz w:val="17"/>
                <w:szCs w:val="17"/>
              </w:rPr>
              <w:t>o relatório da administração e as demonstrações financeiras.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2. Comitês estatutários, órgãos de suporte ao Conselho e Auditoria Interna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COMAUD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Comitê de Auditoria Estatutário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Opina sobre contratação e destituição do auditor independente; supervisiona controle interno, auditoria interna e demonstrações financeiras; monitora exposições de risco e transações com partes relacionadas; recebe denúncias (inclusive sigilosas).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</w:t>
            </w:r>
            <w:r>
              <w:rPr>
                <w:sz w:val="17"/>
                <w:szCs w:val="17"/>
              </w:rPr>
              <w:t>. 6º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COMEL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Comitê de Elegibilidade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Opina sobre requisitos e vedações para eleição de administradores e conselheiros fiscais; verifica a conformidade do processo de avaliação (prazo de 8 dias úteis).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7º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COMISETI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Comitê de Ética e Compliance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Divulga e supervisiona o Código de Conduta Ética e Integridade; instância consultiva em ética pública; recebe e apura denúncias de desvio de conduta; propõe ações de educação em compliance.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8º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COMISEINF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Comitê de Segurança da Informação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Promove a cultura de segurança da informação; propõe normas, procedimentos e recursos; acompanha investigações de quebras de segurança.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9º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COMRISDP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Comitê de Res</w:t>
            </w:r>
            <w:r>
              <w:rPr>
                <w:sz w:val="17"/>
                <w:szCs w:val="17"/>
              </w:rPr>
              <w:t>posta a Incidentes de Segurança com Dados Pessoais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 xml:space="preserve">Conduz os procedimentos em caso de suspeita ou confirmação de incidente com dados pessoais. Composto pelo Diretor-Presidente, DIRAF, DPO, presidente do COMISEINF, Superintendente de TI, chefe da ASSJUR e titular da comunicação social (GERCOM no Regimento; </w:t>
            </w:r>
            <w:r>
              <w:rPr>
                <w:sz w:val="17"/>
                <w:szCs w:val="17"/>
              </w:rPr>
              <w:t>ASSCOM atualmente).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COMESG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Comitê Estratégico de Sustentabilidade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Zela pela incorporação das dimensões social, ambiental, climática e de governança na estratégia e nos processos; recomenda objetivos de sustentabilidade e acompanha as ações.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11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COMISPAC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 xml:space="preserve">Comissão Permanente de Atividades </w:t>
            </w:r>
            <w:r>
              <w:rPr>
                <w:sz w:val="17"/>
                <w:szCs w:val="17"/>
              </w:rPr>
              <w:t>Correcionais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Conselho de Administração (reporta ao Diretor-Presidente)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Dá celeridade aos trabalhos de sindicância punitiva, processo administrativo sancionador e disciplinar, tomada de contas e demais processos de responsabilização. Até 12 membros e um pre</w:t>
            </w:r>
            <w:r>
              <w:rPr>
                <w:sz w:val="17"/>
                <w:szCs w:val="17"/>
              </w:rPr>
              <w:t>sidente.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AUD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Auditoria Interna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Conselho de Administração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Atividade autônoma e de consultoria à alta administração; examina prestações e tomadas de contas; encaminha ao órgão central de auditoria a programação anual e os relatórios; apoia o Sistema de Controle Interno estadual.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3. Diretoria da Presidência (PRESI) e órgãos de assessoramento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PRESI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da Presidência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Convoca e preside a Diretoria Executiva; representa a Companhia em juízo e fora dele; nomeia e dispensa ocupantes de cargos de confiança; autoriza ações judiciais, admissões e demissões; firma convênios e contratos; constitui comissões.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16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 w:rsidP="005D485F">
            <w:r>
              <w:rPr>
                <w:sz w:val="17"/>
                <w:szCs w:val="17"/>
              </w:rPr>
              <w:t>Luiz C</w:t>
            </w:r>
            <w:r>
              <w:rPr>
                <w:sz w:val="17"/>
                <w:szCs w:val="17"/>
              </w:rPr>
              <w:t xml:space="preserve">laudio Fernandes Lourenço Gomes 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</w:t>
            </w:r>
            <w:r>
              <w:rPr>
                <w:sz w:val="17"/>
                <w:szCs w:val="17"/>
              </w:rPr>
              <w:t xml:space="preserve">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CHEGAB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Gabinete da Presidência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Assessora o Presidente; coordena o apoio técnico e administrativo, a documentação e o expediente; coordena a emissão de resoluções, portarias e atos para assinatura do Diretor-Presidente.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17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lastRenderedPageBreak/>
              <w:t>ASSGER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Governança, Riscos e Compliance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 (liderada pelo Diretor-Presidente)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Governança corporativa e Lei das Estatais; Relatório Anual de Governança; integridade e compliance; políticas de conformidade, controle interno e gerenciamento de riscos</w:t>
            </w:r>
            <w:r>
              <w:rPr>
                <w:sz w:val="17"/>
                <w:szCs w:val="17"/>
              </w:rPr>
              <w:t>; coordena identificação, avaliação e planos de ação de riscos; planos de contingência; relatórios trimestrais.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18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5D485F">
            <w:r>
              <w:rPr>
                <w:sz w:val="17"/>
                <w:szCs w:val="17"/>
              </w:rPr>
              <w:t>Clarice Paiva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ASSTAD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Técnica e Administrativa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Assessora o Diretor-Presidente na gestão das unidades e em questões estratégicas; elabora e monitora planos de ação; monitora as demandas dos órgãos de controle e de outros órgãos externos.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19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ASSCON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 xml:space="preserve">Assessoria de Gestão </w:t>
            </w:r>
            <w:r>
              <w:rPr>
                <w:sz w:val="17"/>
                <w:szCs w:val="17"/>
              </w:rPr>
              <w:t>de Contratos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Órgão central de gestão e coordenação de contratos, convênios e congêneres; apoia gestores e fiscais; coordena a prestação de contas dos contratos perante os órgãos de controle.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ASSJUR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Jurídica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Manifesta-se sobre a legalidade dos atos da Companhia; assessora na interpretação de normas, contratos e instrumentos; uniformiza entendimentos da PGE; acompanha os aspectos jurídicos do atendimento aos órgãos de controle.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ASSCOM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Comunicação Social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Assessora a gestão em comunicação social; divulga atos, ações e eventos; produz material gráfico, audiovisual e digital; relacionamento com a imprensa e os públicos da instituição. (Competências do Regimento para a GERCOM, art. 23, que passou a ASSCOM; con</w:t>
            </w:r>
            <w:r>
              <w:rPr>
                <w:sz w:val="17"/>
                <w:szCs w:val="17"/>
              </w:rPr>
              <w:t>ferir.)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23 (GERCOM)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CORREG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Corregedoria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Unidade criada após o Regimento de 2024; competências a informar pela CENTRAL. Referência: a COMISPAC (Reg. art. 12) trata das atividades correcionais, e a ASSGER propõe a padronização dos procedimentos de correição (Reg. art. 18, XI).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atualizar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OUVI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Ouvidoria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PRESI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Recebe e trata manifestações, representações, denúncias e pedidos de acesso à informação; intermedeia com os setores internos; elabora relatórios periódicos da ouvidoria.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4. Diretoria de Administração e Finanças (DIRAF)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DIRAF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de Administração e Finanças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Dirige as políticas de materiais, licitações, patrimônio, apoio geral, tecnologia da informação, segurança da informação, finanças, contabilidade, seguros, arrecadação, gestão documental e gestão de pessoas.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26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SUPTIN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Tecnologia da Informação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Cumpre as diretrizes técnicas do PRODERJ; encaminha o planejamento anual de TIC e o PDTIC; responde pela política de TIC da Companhia.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27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GERTIN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Tecnologia da Informação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SUPTIN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Avalia necessidades de software, hardware e dados; mantém aplicações e sistemas; gerencia as redes; fiscaliza fornecimentos e serviços de TI.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28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SUPADM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Administrativa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Supervisiona compras, materiais, protocolo, expediente, manutenção predial e racionalização de rotinas; supervisiona as licitações de projetos, obras, materiais e serviços.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29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GERLIC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Licitações e Contratos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SUPADM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Gerencia os procedimentos de licitação; mantém atualizados os dados das contratações no SIAFE-RIO; encaminha os atos de contratação ao TCE-RJ; acompanha pregão e comissões especiais.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GERADM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Administrativa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SUPADM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almoxarifado e estoque; pesquisa de preços para compras e serviços; assessora no monitoramento das compras estratégicas; gerencia protocolo e os sistemas SIGA-RJ e SEI-RJ.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31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SUPGEP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Gestão de Pessoas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 a política de gestão de pessoas, os gastos de pessoal e a folha de pagamento; identifica estratégias de gestão de pessoas; cumpre e faz cumprir a legislação da área.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GERGEP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Gestão de Pessoas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SUPGEP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Operacionaliza a folha, os direitos e deveres dos empregados ativos e inativos e o controle funcional; controla a programação de gastos de pessoal.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SUPFIC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Finanças e Contabilidade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 a administração financeira, a contabilidade e o controle; planeja a gestão de recursos próprios e provenientes do Tesouro do Estado e do Banco Mundial.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35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GERFIN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Finanças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SUPFIC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Gerencia a administração financeira; gere recursos próprios e de outras fontes (Tesouro Estadual, terceiros, convênios e empréstimos); relatório de movimentação financeira do exercício.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36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</w:t>
            </w:r>
            <w:r>
              <w:rPr>
                <w:sz w:val="17"/>
                <w:szCs w:val="17"/>
              </w:rPr>
              <w:t>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GERCOT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Contabilidade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SUPFIC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Gerencia a contabilidade; firma atos de responsabilidade contábil; escrituração das operações no SIAFE-RIO.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37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ASSESMT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Serviço Social, Segurança e Medicina do Trabalho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Competências do Regimento para a GERMST (art. 34), a conferir: processos pedagógicos, psicológicos, assistenciais e sociais; treinamento, recrutamento e seleção; SESMT e engenharia de seg</w:t>
            </w:r>
            <w:r>
              <w:rPr>
                <w:sz w:val="17"/>
                <w:szCs w:val="17"/>
              </w:rPr>
              <w:t>urança e medicina do trabalho.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34 (GERMST)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lastRenderedPageBreak/>
              <w:t>SUPAT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Gestão Patrimonial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DIRAF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 a administração e fiscalização dos bens patrimoniais, inclusive os do Contrato de Concessão; captação de receitas; convênios, cessões de uso, comodatos, alienação e regularização de imóveis.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38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GERADP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 xml:space="preserve">Gerência de </w:t>
            </w:r>
            <w:r>
              <w:rPr>
                <w:sz w:val="17"/>
                <w:szCs w:val="17"/>
              </w:rPr>
              <w:t>Administração Patrimonial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SUPAT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o pagamento dos ocupantes de imóveis; administra os instrumentos de direito público e privado sobre imóveis ocupados por empregados e terceiros; revisão e renegociação de contratos.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39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GERFIP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Fiscalização Patrimonial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SUPAT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Vistoria, controle e avaliação de bens patrimoniais; fiscaliza propaganda clandestina e o cumprimento das cláusulas dos instrumentos de ocupação.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5. Diretoria de Engenharia e Operação (DIREO)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DIREO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de Engenharia e Operação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Dirige as políticas de planejamento de transportes, projetos e obras de recuperação e ampliação do patrimônio, operação e manutenção do sistema ferroviário; acompanha e fiscaliza contratos e convênios da diretoria.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SUPMRS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Material Rodante e Sistemas Eletroeletrônicos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Executa as políticas do sistema ferroviário quanto a material rodante e sistemas eletroeletrônicos, com foco em segurança operacional; supervisiona e fiscaliza as aquisições.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</w:t>
            </w:r>
            <w:r>
              <w:rPr>
                <w:sz w:val="17"/>
                <w:szCs w:val="17"/>
              </w:rPr>
              <w:t>g. art. 43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GERMAR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Material Rodante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SUPMRS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os processos do material rodante; instrui os planos de manutenção; métodos para melhorar o desempenho do material rodante.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GERSIS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Sistemas Eletroeletrônicos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SUPMRS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os processos dos sistemas eletroeletrônicos; instrui os planos de manutenção; métodos para melhorar seu desempenho.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45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SUPVIP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Via Permanente, Obra</w:t>
            </w:r>
            <w:r>
              <w:rPr>
                <w:sz w:val="17"/>
                <w:szCs w:val="17"/>
              </w:rPr>
              <w:t>s Civis e Manutenção Predial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Executa as políticas do sistema ferroviário quanto a via permanente, obras civis e manutenção predial; supervisiona e fiscaliza aquisições e processos em andamento.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46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GERVIP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Via Permanente e Obras Civis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SUPVIP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os processos de via permanente e obras civis; instrui os planos de manutenção; métodos para melhorar o desempenho.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47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bookmarkStart w:id="0" w:name="_GoBack"/>
            <w:bookmarkEnd w:id="0"/>
            <w:r>
              <w:rPr>
                <w:b/>
                <w:bCs/>
                <w:sz w:val="17"/>
                <w:szCs w:val="17"/>
              </w:rPr>
              <w:t>GERMAP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Manutenção Predial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SUPVIP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a manutenção predial; elabora os planos de manutenção; apura e otimiza custos; projetos de engenharia e construção das instalações prediais.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48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SUPTRA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Manutenção e Operação de Transportes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Executa as políticas do sistema ferroviário quanto à manutenção e operação dos sistemas operados pela empresa, com foco em segurança operacional.</w:t>
            </w:r>
          </w:p>
          <w:p w:rsidR="003752E2" w:rsidRDefault="00662DDA">
            <w:r>
              <w:rPr>
                <w:sz w:val="17"/>
                <w:szCs w:val="17"/>
                <w:i/>
              </w:rPr>
              <w:t>Unidade que não consta da estrutura aprovada pela Resolução CONADM nº 01/2026 (vigência em 01/10/2026); competências do Regimento Interno de 2024.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49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GEROPT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Operação de Transportes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SUPTRA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Controla a operação dos sistemas operados pela empresa; planeja e controla a circulação dos bondes e outros veículos; procedimentos de segurança.</w:t>
            </w:r>
          </w:p>
          <w:p w:rsidR="003752E2" w:rsidRDefault="00662DDA">
            <w:r>
              <w:rPr>
                <w:sz w:val="17"/>
                <w:szCs w:val="17"/>
                <w:i/>
              </w:rPr>
              <w:t>Unidade que não consta da estrutura aprovada pela Resolução CONADM nº 01/2026 (vigência em 01/10/2026); competências do Regimento Interno de 2024.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50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GERMAT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Manutenção de Transportes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SUPTRA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Planejamento e controle da manutenção preventiva do material rodante, equipamentos e sistemas; desempenho da manutenção do Sistema de Bondes de Santa Teresa e de outros sistemas.</w:t>
            </w:r>
          </w:p>
          <w:p w:rsidR="003752E2" w:rsidRDefault="00662DDA">
            <w:r>
              <w:rPr>
                <w:sz w:val="17"/>
                <w:szCs w:val="17"/>
                <w:i/>
              </w:rPr>
              <w:t>Unidade que não consta da estrutura aprovada pela Resolução CONADM nº 01/2026 (vigência em 01/10/2026); competências do Regimento Interno de 2024.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51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ASSPRE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Assessoria de Projetos Especiais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DIREO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Planeja e coordena projetos que integram vários órgãos; projetos de valorização de áreas; estudos de modernização e ampliação do transporte sobre trilhos; projetos de convênios com prefeituras.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52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c>
          <w:tcPr>
            <w:tcW w:w="15398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6. Diretoria de Planejamento (DIRPLA)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DIRPLA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de Planejamento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Diretoria Executiva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 xml:space="preserve">Dirige as políticas de planejamento e orçamento; avalia a execução dos planos, programas e projetos; coordena o planejamento estratégico e o Plano de Investimentos </w:t>
            </w:r>
            <w:r>
              <w:rPr>
                <w:sz w:val="17"/>
                <w:szCs w:val="17"/>
              </w:rPr>
              <w:t>do Poder Executivo (PIERJ).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54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SUPLAN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Superintendência de Planejamento e Orçamento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DIRPLA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Coordena os orçamentos anuais, a LDO e o PPA; coordena a gestão e a programação de investimentos; articula-se com os órgãos estaduais de planejamento e orçamento; atos de gestão orçamentária.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55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GERORT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Orçamento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SUPLAN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Monitora o cumprimento do orçamento anual; propostas orçamentárias, reprogramações e suplementações; programação e execução orçamentária; compatibilização com o PPA.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56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  <w:tr w:rsidR="003752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7"/>
                <w:szCs w:val="17"/>
              </w:rPr>
              <w:t>GERPLA</w:t>
            </w:r>
          </w:p>
        </w:tc>
        <w:tc>
          <w:tcPr>
            <w:tcW w:w="2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Gerência de Planejamento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SUPLAN</w:t>
            </w:r>
          </w:p>
        </w:tc>
        <w:tc>
          <w:tcPr>
            <w:tcW w:w="5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Auxilia a gestão e a programação de investimentos; apoia a elaboração do PPA, da LDO e da PLOA; acompanha o desempenho do PPA.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Reg. art. 57</w:t>
            </w:r>
          </w:p>
        </w:tc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  <w:tc>
          <w:tcPr>
            <w:tcW w:w="12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7"/>
                <w:szCs w:val="17"/>
              </w:rPr>
              <w:t>A preencher</w:t>
            </w:r>
          </w:p>
        </w:tc>
      </w:tr>
    </w:tbl>
    <w:p w:rsidR="005D485F" w:rsidRDefault="00662DDA">
      <w:pPr>
        <w:sectPr w:rsidR="005D485F">
          <w:pgSz w:w="16838" w:h="11906" w:orient="landscape"/>
          <w:pgMar w:top="900" w:right="720" w:bottom="900" w:left="720" w:header="708" w:footer="708" w:gutter="0"/>
          <w:cols w:space="720"/>
          <w:docGrid w:linePitch="360"/>
        </w:sectPr>
      </w:pPr>
      <w:r>
        <w:br w:type="page"/>
      </w:r>
    </w:p>
    <w:p w:rsidR="003752E2" w:rsidRDefault="003752E2"/>
    <w:p w:rsidR="003752E2" w:rsidRDefault="00662DDA">
      <w:pPr>
        <w:pStyle w:val="Ttulo1"/>
        <w:spacing w:before="240" w:after="120"/>
      </w:pPr>
      <w:r>
        <w:t>4. Unidades vinculadas e fundos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Vinculação: a CENTRAL é vinculada à Secretaria de Estado de Transportes (Estatuto, art. 1º). Para efeito do ofício, a autoridade superior é a SETRAM.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Unidades vinculadas ao Conselho de Administração, conforme o Regimento: COMAUD, COMEL, COMISETI, COMISEINF</w:t>
      </w:r>
      <w:r>
        <w:t>, COMRISDP, COMESG, COMISPAC e Auditoria Interna (Regimento, art. 2º, II a IV).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Subsidiárias ou participações societárias: nenhuma identificada nos documentos consultados.</w:t>
      </w:r>
    </w:p>
    <w:p w:rsidR="003752E2" w:rsidRDefault="00662DDA">
      <w:pPr>
        <w:pStyle w:val="PargrafodaLista"/>
        <w:numPr>
          <w:ilvl w:val="0"/>
          <w:numId w:val="2"/>
        </w:numPr>
        <w:spacing w:after="50"/>
      </w:pPr>
      <w:r>
        <w:t>Fundos: nenhum fundo próprio identificado. Ver o item 5.</w:t>
      </w:r>
    </w:p>
    <w:p w:rsidR="003752E2" w:rsidRDefault="00662DDA">
      <w:pPr>
        <w:pStyle w:val="Ttulo1"/>
        <w:spacing w:before="240" w:after="120"/>
      </w:pPr>
      <w:r>
        <w:t xml:space="preserve">5. Informações pendentes e </w:t>
      </w:r>
      <w:r>
        <w:t>pontos a confirmar</w:t>
      </w:r>
    </w:p>
    <w:tbl>
      <w:tblPr>
        <w:tblW w:w="10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140"/>
      </w:tblGrid>
      <w:tr w:rsidR="003752E2" w:rsidTr="00E842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color w:val="FFFFFF"/>
                <w:sz w:val="19"/>
                <w:szCs w:val="19"/>
              </w:rPr>
              <w:t>O que falta / a confirmar</w:t>
            </w:r>
          </w:p>
        </w:tc>
      </w:tr>
      <w:tr w:rsidR="003752E2" w:rsidTr="00E842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Dirigentes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9"/>
                <w:szCs w:val="19"/>
              </w:rPr>
              <w:t>Nome, cargo e data de posse de cada diretor, superintendente, gerente e assessor-chefe. O Regimento traz só os cargos. Único nome identificado: o do Diretor-Presidente, constante do destinatário</w:t>
            </w:r>
            <w:r>
              <w:rPr>
                <w:sz w:val="19"/>
                <w:szCs w:val="19"/>
              </w:rPr>
              <w:t xml:space="preserve"> do ofício.</w:t>
            </w:r>
          </w:p>
        </w:tc>
      </w:tr>
      <w:tr w:rsidR="003752E2" w:rsidTr="00E842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Pontos focais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9"/>
                <w:szCs w:val="19"/>
              </w:rPr>
              <w:t>Indicar, por atividade, o contato responsável para a Equipe de Transição (nome, e-mail e telefone).</w:t>
            </w:r>
          </w:p>
        </w:tc>
      </w:tr>
      <w:tr w:rsidR="003752E2" w:rsidTr="00E842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Fundos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9"/>
                <w:szCs w:val="19"/>
              </w:rPr>
              <w:t>O Regimento e o Estatuto não identificam fundos próprios da CENTRAL. Aparecem apenas o fundo de pensão (previdência complementar) dos empregados e o Fundo de Indenização dos administradores (Estatuto, art. 43). Confirmar com ASSJUR e SUPFIC se há fundo vin</w:t>
            </w:r>
            <w:r>
              <w:rPr>
                <w:sz w:val="19"/>
                <w:szCs w:val="19"/>
              </w:rPr>
              <w:t>culado.</w:t>
            </w:r>
          </w:p>
        </w:tc>
      </w:tr>
      <w:tr w:rsidR="003752E2" w:rsidTr="00E842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b/>
                <w:bCs/>
                <w:sz w:val="19"/>
                <w:szCs w:val="19"/>
              </w:rPr>
              <w:t>Competências a atualizar</w:t>
            </w:r>
          </w:p>
        </w:tc>
        <w:tc>
          <w:tcPr>
            <w:tcW w:w="71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3752E2" w:rsidRDefault="00662DDA">
            <w:r>
              <w:rPr>
                <w:sz w:val="19"/>
                <w:szCs w:val="19"/>
              </w:rPr>
              <w:t>CORREG, ASSCOM e ASSESMT não têm competências em norma atualizada. Os textos de ASSCOM e ASSESMT repetem os da GERCOM e da GERMST. Informar também para onde foram as funções da ASSPRIN (captação de</w:t>
            </w:r>
            <w:r>
              <w:rPr>
                <w:sz w:val="19"/>
                <w:szCs w:val="19"/>
              </w:rPr>
              <w:t xml:space="preserve"> recursos e financiamentos).</w:t>
            </w:r>
          </w:p>
        </w:tc>
      </w:tr>
    </w:tbl>
    <w:p w:rsidR="00662DDA" w:rsidRDefault="00662DDA"/>
    <w:sectPr w:rsidR="00662DDA" w:rsidSect="005D485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2DDA" w:rsidRDefault="00662DDA">
      <w:r>
        <w:separator/>
      </w:r>
    </w:p>
  </w:endnote>
  <w:endnote w:type="continuationSeparator" w:id="0">
    <w:p w:rsidR="00662DDA" w:rsidRDefault="00662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52E2" w:rsidRDefault="00662DDA">
    <w:pPr>
      <w:jc w:val="center"/>
    </w:pPr>
    <w:r>
      <w:rPr>
        <w:color w:val="666666"/>
        <w:sz w:val="16"/>
        <w:szCs w:val="16"/>
      </w:rPr>
      <w:t xml:space="preserve">CENTRAL · Transição governamental 2026 · Item 1 do Ofício nº 02/2026 · versão final, campos em amarelo </w:t>
    </w:r>
    <w:r>
      <w:rPr>
        <w:color w:val="666666"/>
        <w:sz w:val="16"/>
        <w:szCs w:val="16"/>
      </w:rPr>
      <w:t xml:space="preserve">a preencher ·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 w:rsidR="005D485F">
      <w:rPr>
        <w:color w:val="666666"/>
        <w:sz w:val="16"/>
        <w:szCs w:val="16"/>
      </w:rPr>
      <w:fldChar w:fldCharType="separate"/>
    </w:r>
    <w:r w:rsidR="00E842C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2DDA" w:rsidRDefault="00662DDA">
      <w:r>
        <w:separator/>
      </w:r>
    </w:p>
  </w:footnote>
  <w:footnote w:type="continuationSeparator" w:id="0">
    <w:p w:rsidR="00662DDA" w:rsidRDefault="00662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B51C6"/>
    <w:multiLevelType w:val="hybridMultilevel"/>
    <w:tmpl w:val="DB920EAA"/>
    <w:lvl w:ilvl="0" w:tplc="114269AC">
      <w:start w:val="1"/>
      <w:numFmt w:val="bullet"/>
      <w:lvlText w:val="•"/>
      <w:lvlJc w:val="left"/>
      <w:pPr>
        <w:ind w:left="540" w:hanging="270"/>
      </w:pPr>
    </w:lvl>
    <w:lvl w:ilvl="1" w:tplc="5B6A5F96">
      <w:numFmt w:val="decimal"/>
      <w:lvlText w:val=""/>
      <w:lvlJc w:val="left"/>
    </w:lvl>
    <w:lvl w:ilvl="2" w:tplc="6FE8B6D4">
      <w:numFmt w:val="decimal"/>
      <w:lvlText w:val=""/>
      <w:lvlJc w:val="left"/>
    </w:lvl>
    <w:lvl w:ilvl="3" w:tplc="908E0A76">
      <w:numFmt w:val="decimal"/>
      <w:lvlText w:val=""/>
      <w:lvlJc w:val="left"/>
    </w:lvl>
    <w:lvl w:ilvl="4" w:tplc="D21654AE">
      <w:numFmt w:val="decimal"/>
      <w:lvlText w:val=""/>
      <w:lvlJc w:val="left"/>
    </w:lvl>
    <w:lvl w:ilvl="5" w:tplc="FAFAD5F2">
      <w:numFmt w:val="decimal"/>
      <w:lvlText w:val=""/>
      <w:lvlJc w:val="left"/>
    </w:lvl>
    <w:lvl w:ilvl="6" w:tplc="4B36E142">
      <w:numFmt w:val="decimal"/>
      <w:lvlText w:val=""/>
      <w:lvlJc w:val="left"/>
    </w:lvl>
    <w:lvl w:ilvl="7" w:tplc="58ECE7A0">
      <w:numFmt w:val="decimal"/>
      <w:lvlText w:val=""/>
      <w:lvlJc w:val="left"/>
    </w:lvl>
    <w:lvl w:ilvl="8" w:tplc="986023B8">
      <w:numFmt w:val="decimal"/>
      <w:lvlText w:val=""/>
      <w:lvlJc w:val="left"/>
    </w:lvl>
  </w:abstractNum>
  <w:abstractNum w:abstractNumId="1" w15:restartNumberingAfterBreak="0">
    <w:nsid w:val="785D4F54"/>
    <w:multiLevelType w:val="hybridMultilevel"/>
    <w:tmpl w:val="0A5CCC6A"/>
    <w:lvl w:ilvl="0" w:tplc="99560ED2">
      <w:start w:val="1"/>
      <w:numFmt w:val="bullet"/>
      <w:lvlText w:val="●"/>
      <w:lvlJc w:val="left"/>
      <w:pPr>
        <w:ind w:left="720" w:hanging="360"/>
      </w:pPr>
    </w:lvl>
    <w:lvl w:ilvl="1" w:tplc="0C1E1576">
      <w:start w:val="1"/>
      <w:numFmt w:val="bullet"/>
      <w:lvlText w:val="○"/>
      <w:lvlJc w:val="left"/>
      <w:pPr>
        <w:ind w:left="1440" w:hanging="360"/>
      </w:pPr>
    </w:lvl>
    <w:lvl w:ilvl="2" w:tplc="B7CA48DC">
      <w:start w:val="1"/>
      <w:numFmt w:val="bullet"/>
      <w:lvlText w:val="■"/>
      <w:lvlJc w:val="left"/>
      <w:pPr>
        <w:ind w:left="2160" w:hanging="360"/>
      </w:pPr>
    </w:lvl>
    <w:lvl w:ilvl="3" w:tplc="6FEC345C">
      <w:start w:val="1"/>
      <w:numFmt w:val="bullet"/>
      <w:lvlText w:val="●"/>
      <w:lvlJc w:val="left"/>
      <w:pPr>
        <w:ind w:left="2880" w:hanging="360"/>
      </w:pPr>
    </w:lvl>
    <w:lvl w:ilvl="4" w:tplc="3F262138">
      <w:start w:val="1"/>
      <w:numFmt w:val="bullet"/>
      <w:lvlText w:val="○"/>
      <w:lvlJc w:val="left"/>
      <w:pPr>
        <w:ind w:left="3600" w:hanging="360"/>
      </w:pPr>
    </w:lvl>
    <w:lvl w:ilvl="5" w:tplc="E02CA56A">
      <w:start w:val="1"/>
      <w:numFmt w:val="bullet"/>
      <w:lvlText w:val="■"/>
      <w:lvlJc w:val="left"/>
      <w:pPr>
        <w:ind w:left="4320" w:hanging="360"/>
      </w:pPr>
    </w:lvl>
    <w:lvl w:ilvl="6" w:tplc="60EA6DD6">
      <w:start w:val="1"/>
      <w:numFmt w:val="bullet"/>
      <w:lvlText w:val="●"/>
      <w:lvlJc w:val="left"/>
      <w:pPr>
        <w:ind w:left="5040" w:hanging="360"/>
      </w:pPr>
    </w:lvl>
    <w:lvl w:ilvl="7" w:tplc="2F682E46">
      <w:start w:val="1"/>
      <w:numFmt w:val="bullet"/>
      <w:lvlText w:val="●"/>
      <w:lvlJc w:val="left"/>
      <w:pPr>
        <w:ind w:left="5760" w:hanging="360"/>
      </w:pPr>
    </w:lvl>
    <w:lvl w:ilvl="8" w:tplc="B3CABC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2E2"/>
    <w:rsid w:val="003752E2"/>
    <w:rsid w:val="005D485F"/>
    <w:rsid w:val="00662DDA"/>
    <w:rsid w:val="0071132B"/>
    <w:rsid w:val="00E8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EF5CF7-9930-499A-9D1D-02BB7119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qFormat/>
    <w:pPr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2925</Words>
  <Characters>15796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Clarice Amaral Paiva</cp:lastModifiedBy>
  <cp:revision>4</cp:revision>
  <dcterms:created xsi:type="dcterms:W3CDTF">2026-10-28T14:33:00Z</dcterms:created>
  <dcterms:modified xsi:type="dcterms:W3CDTF">2026-10-28T14:35:00Z</dcterms:modified>
</cp:coreProperties>
</file>