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b/>
              </w:rPr>
              <w:t>Data</w:t>
            </w:r>
          </w:p>
        </w:tc>
        <w:tc>
          <w:tcPr>
            <w:tcW w:type="dxa" w:w="7824"/>
            <w:shd w:val="clear" w:fill="D9E2F3"/>
          </w:tcPr>
          <w:p>
            <w:r/>
            <w:r>
              <w:rPr>
                <w:b/>
              </w:rPr>
              <w:t>Evento</w:t>
            </w:r>
          </w:p>
        </w:tc>
      </w:tr>
      <w:tr>
        <w:tc>
          <w:tcPr>
            <w:tcW w:type="dxa" w:w="1814"/>
          </w:tcPr>
          <w:p>
            <w:r>
              <w:t>05/09/2012</w:t>
            </w:r>
          </w:p>
        </w:tc>
        <w:tc>
          <w:tcPr>
            <w:tcW w:type="dxa" w:w="7824"/>
          </w:tcPr>
          <w:p>
            <w:r>
              <w:t>Assinatura do contrato de empréstimo com o Organismo financiador (Empréstimo 8117-BR, BIRD).</w:t>
            </w:r>
          </w:p>
        </w:tc>
      </w:tr>
      <w:tr>
        <w:tc>
          <w:tcPr>
            <w:tcW w:type="dxa" w:w="1814"/>
          </w:tcPr>
          <w:p>
            <w:r>
              <w:t>16/01/2020</w:t>
            </w:r>
          </w:p>
        </w:tc>
        <w:tc>
          <w:tcPr>
            <w:tcW w:type="dxa" w:w="7824"/>
          </w:tcPr>
          <w:p>
            <w:r>
              <w:t>Publicação no DOERJ da Solicitação de Manifestação de Interesse (SMI), início do processo seletivo.</w:t>
            </w:r>
          </w:p>
        </w:tc>
      </w:tr>
      <w:tr>
        <w:tc>
          <w:tcPr>
            <w:tcW w:type="dxa" w:w="1814"/>
          </w:tcPr>
          <w:p>
            <w:r>
              <w:t>14/02/2020</w:t>
            </w:r>
          </w:p>
        </w:tc>
        <w:tc>
          <w:tcPr>
            <w:tcW w:type="dxa" w:w="7824"/>
          </w:tcPr>
          <w:p>
            <w:r>
              <w:t>Prazo final de entrega das manifestações de interesse (portfólios).</w:t>
            </w:r>
          </w:p>
        </w:tc>
      </w:tr>
      <w:tr>
        <w:tc>
          <w:tcPr>
            <w:tcW w:type="dxa" w:w="1814"/>
          </w:tcPr>
          <w:p>
            <w:r>
              <w:t>11 a 20/03/2020</w:t>
            </w:r>
          </w:p>
        </w:tc>
        <w:tc>
          <w:tcPr>
            <w:tcW w:type="dxa" w:w="7824"/>
          </w:tcPr>
          <w:p>
            <w:r>
              <w:t>Pandemia de COVID-19: a OMS a declara em 11/03, o Decreto nº 46.970 (13/03) fixa medidas de contenção e o Decreto nº 46.984 (20/03) decreta estado de calamidade pública. A análise presencial dos portfólios fica inviabilizada.</w:t>
            </w:r>
          </w:p>
        </w:tc>
      </w:tr>
      <w:tr>
        <w:tc>
          <w:tcPr>
            <w:tcW w:type="dxa" w:w="1814"/>
          </w:tcPr>
          <w:p>
            <w:r>
              <w:t>19/05/2020</w:t>
            </w:r>
          </w:p>
        </w:tc>
        <w:tc>
          <w:tcPr>
            <w:tcW w:type="dxa" w:w="7824"/>
          </w:tcPr>
          <w:p>
            <w:r>
              <w:t>O Banco autoriza a análise virtual dos portfólios, após a autorização jurídica (02/04) e a validação da informática (15/05).</w:t>
            </w:r>
          </w:p>
        </w:tc>
      </w:tr>
      <w:tr>
        <w:tc>
          <w:tcPr>
            <w:tcW w:type="dxa" w:w="1814"/>
          </w:tcPr>
          <w:p>
            <w:r>
              <w:t>20/08/2020</w:t>
            </w:r>
          </w:p>
        </w:tc>
        <w:tc>
          <w:tcPr>
            <w:tcW w:type="dxa" w:w="7824"/>
          </w:tcPr>
          <w:p>
            <w:r>
              <w:t>Elaboração da lista curta e emissão do edital (SDP nº 003/2020), com base no modelo-padrão do financiador, enviado às empresas da lista curta.</w:t>
            </w:r>
          </w:p>
        </w:tc>
      </w:tr>
      <w:tr>
        <w:tc>
          <w:tcPr>
            <w:tcW w:type="dxa" w:w="1814"/>
          </w:tcPr>
          <w:p>
            <w:r>
              <w:t>29/09/2020</w:t>
            </w:r>
          </w:p>
        </w:tc>
        <w:tc>
          <w:tcPr>
            <w:tcW w:type="dxa" w:w="7824"/>
          </w:tcPr>
          <w:p>
            <w:r>
              <w:t>Recebimento das propostas.</w:t>
            </w:r>
          </w:p>
        </w:tc>
      </w:tr>
      <w:tr>
        <w:tc>
          <w:tcPr>
            <w:tcW w:type="dxa" w:w="1814"/>
          </w:tcPr>
          <w:p>
            <w:r>
              <w:t>21/12/2020</w:t>
            </w:r>
          </w:p>
        </w:tc>
        <w:tc>
          <w:tcPr>
            <w:tcW w:type="dxa" w:w="7824"/>
          </w:tcPr>
          <w:p>
            <w:r>
              <w:t>Fim da validade das propostas (Folha de Dados, cláusula 12.1: 90 dias corridos após o prazo final de apresentação).</w:t>
            </w:r>
          </w:p>
        </w:tc>
      </w:tr>
      <w:tr>
        <w:tc>
          <w:tcPr>
            <w:tcW w:type="dxa" w:w="1814"/>
          </w:tcPr>
          <w:p>
            <w:r>
              <w:t>12/01/2021</w:t>
            </w:r>
          </w:p>
        </w:tc>
        <w:tc>
          <w:tcPr>
            <w:tcW w:type="dxa" w:w="7824"/>
          </w:tcPr>
          <w:p>
            <w:r>
              <w:t>Abertura das propostas financeiras e surgimento da dúvida sobre tributos: cada licitante apresentou os impostos de forma diferente no formulário FIN-2 (dúvida já surgida no certame paralelo do CIMU Sistema).</w:t>
            </w:r>
          </w:p>
        </w:tc>
      </w:tr>
      <w:tr>
        <w:tc>
          <w:tcPr>
            <w:tcW w:type="dxa" w:w="1814"/>
          </w:tcPr>
          <w:p>
            <w:r>
              <w:t>04/02/2021</w:t>
            </w:r>
          </w:p>
        </w:tc>
        <w:tc>
          <w:tcPr>
            <w:tcW w:type="dxa" w:w="7824"/>
          </w:tcPr>
          <w:p>
            <w:r>
              <w:t>Consulta ao especialista em licitações do Banco e resposta no mesmo dia: na negociação só será discutido o ISS.</w:t>
            </w:r>
          </w:p>
        </w:tc>
      </w:tr>
      <w:tr>
        <w:tc>
          <w:tcPr>
            <w:tcW w:type="dxa" w:w="1814"/>
          </w:tcPr>
          <w:p>
            <w:r>
              <w:t>18/03/2021</w:t>
            </w:r>
          </w:p>
        </w:tc>
        <w:tc>
          <w:tcPr>
            <w:tcW w:type="dxa" w:w="7824"/>
          </w:tcPr>
          <w:p>
            <w:r>
              <w:t>1ª reunião de negociação: o consórcio é informado de que só o ISS será considerado e é solicitado o detalhamento dos “Impostos totais”.</w:t>
            </w:r>
          </w:p>
        </w:tc>
      </w:tr>
      <w:tr>
        <w:tc>
          <w:tcPr>
            <w:tcW w:type="dxa" w:w="1814"/>
          </w:tcPr>
          <w:p>
            <w:r>
              <w:t>26/03/2021</w:t>
            </w:r>
          </w:p>
        </w:tc>
        <w:tc>
          <w:tcPr>
            <w:tcW w:type="dxa" w:w="7824"/>
          </w:tcPr>
          <w:p>
            <w:r>
              <w:t>Primeira manifestação da consultoria (consórcio) sobre os tributos: envio da tabela detalhada de impostos, em dólar.</w:t>
            </w:r>
          </w:p>
        </w:tc>
      </w:tr>
      <w:tr>
        <w:tc>
          <w:tcPr>
            <w:tcW w:type="dxa" w:w="1814"/>
          </w:tcPr>
          <w:p>
            <w:r>
              <w:t>12/04/2021</w:t>
            </w:r>
          </w:p>
        </w:tc>
        <w:tc>
          <w:tcPr>
            <w:tcW w:type="dxa" w:w="7824"/>
          </w:tcPr>
          <w:p>
            <w:r>
              <w:t>Nova consulta da Comissão ao especialista do Banco, sobre ISS e impostos estrangeiros, e resposta no mesmo dia: o especialista questiona a incidência de impostos nacionais sobre valores pagos em dólar.</w:t>
            </w:r>
          </w:p>
        </w:tc>
      </w:tr>
      <w:tr>
        <w:tc>
          <w:tcPr>
            <w:tcW w:type="dxa" w:w="1814"/>
          </w:tcPr>
          <w:p>
            <w:r>
              <w:t>27/04/2021</w:t>
            </w:r>
          </w:p>
        </w:tc>
        <w:tc>
          <w:tcPr>
            <w:tcW w:type="dxa" w:w="7824"/>
          </w:tcPr>
          <w:p>
            <w:r>
              <w:t>2ª reunião de negociação. O consórcio explica, por e-mail, que o valor dos impostos é acrescido à nota fiscal para aplicar as retenções previstas no acordo Brasil–Espanha.</w:t>
            </w:r>
          </w:p>
        </w:tc>
      </w:tr>
      <w:tr>
        <w:tc>
          <w:tcPr>
            <w:tcW w:type="dxa" w:w="1814"/>
          </w:tcPr>
          <w:p>
            <w:r>
              <w:t>04/05/2021</w:t>
            </w:r>
          </w:p>
        </w:tc>
        <w:tc>
          <w:tcPr>
            <w:tcW w:type="dxa" w:w="7824"/>
          </w:tcPr>
          <w:p>
            <w:r>
              <w:t>Nova manifestação da consultoria, reafirmando a posição: invoca o Decreto nº 76.975/1976 (dupla tributação Brasil–Espanha) e sustenta a incidência de IR e ISS.</w:t>
            </w:r>
          </w:p>
        </w:tc>
      </w:tr>
      <w:tr>
        <w:tc>
          <w:tcPr>
            <w:tcW w:type="dxa" w:w="1814"/>
          </w:tcPr>
          <w:p>
            <w:r>
              <w:t>21/06/2021</w:t>
            </w:r>
          </w:p>
        </w:tc>
        <w:tc>
          <w:tcPr>
            <w:tcW w:type="dxa" w:w="7824"/>
          </w:tcPr>
          <w:p>
            <w:r>
              <w:t>O Banco autoriza o pagamento direto da parcela em dólar (US$ 142.550,00). No mesmo dia a Comissão consulta a DIRAF sobre a possibilidade do pagamento direto.</w:t>
            </w:r>
          </w:p>
        </w:tc>
      </w:tr>
      <w:tr>
        <w:tc>
          <w:tcPr>
            <w:tcW w:type="dxa" w:w="1814"/>
          </w:tcPr>
          <w:p>
            <w:r>
              <w:t>24/06/2021</w:t>
            </w:r>
          </w:p>
        </w:tc>
        <w:tc>
          <w:tcPr>
            <w:tcW w:type="dxa" w:w="7824"/>
          </w:tcPr>
          <w:p>
            <w:r>
              <w:t>A DIRAF encaminha a consulta à Secretaria de Estado de Fazenda (SEFAZ).</w:t>
            </w:r>
          </w:p>
        </w:tc>
      </w:tr>
      <w:tr>
        <w:tc>
          <w:tcPr>
            <w:tcW w:type="dxa" w:w="1814"/>
          </w:tcPr>
          <w:p>
            <w:r>
              <w:t>30/06/2021</w:t>
            </w:r>
          </w:p>
        </w:tc>
        <w:tc>
          <w:tcPr>
            <w:tcW w:type="dxa" w:w="7824"/>
          </w:tcPr>
          <w:p>
            <w:r>
              <w:t>Nova manifestação do consórcio: carta de justificativa do ISS e do IR, faturas e comprovantes da Receita Federal, enviada ao Banco no mesmo dia.</w:t>
            </w:r>
          </w:p>
        </w:tc>
      </w:tr>
      <w:tr>
        <w:tc>
          <w:tcPr>
            <w:tcW w:type="dxa" w:w="1814"/>
          </w:tcPr>
          <w:p>
            <w:r>
              <w:t>08 e 09/07/2021</w:t>
            </w:r>
          </w:p>
        </w:tc>
        <w:tc>
          <w:tcPr>
            <w:tcW w:type="dxa" w:w="7824"/>
          </w:tcPr>
          <w:p>
            <w:r>
              <w:t>O especialista do Banco mantém que o entendimento da consultoria está errado (08/07). Reunião com o Banco e o consórcio (09/07): o Banco ratifica que não há imposto brasileiro em invoice em dólar.</w:t>
            </w:r>
          </w:p>
        </w:tc>
      </w:tr>
      <w:tr>
        <w:tc>
          <w:tcPr>
            <w:tcW w:type="dxa" w:w="1814"/>
          </w:tcPr>
          <w:p>
            <w:r>
              <w:t>14/07/2021</w:t>
            </w:r>
          </w:p>
        </w:tc>
        <w:tc>
          <w:tcPr>
            <w:tcW w:type="dxa" w:w="7824"/>
          </w:tcPr>
          <w:p>
            <w:r>
              <w:t>O consórcio aceita excluir os impostos do valor do contrato, com a ressalva de revisão (termo aditivo) caso haja retenção futura.</w:t>
            </w:r>
          </w:p>
        </w:tc>
      </w:tr>
      <w:tr>
        <w:tc>
          <w:tcPr>
            <w:tcW w:type="dxa" w:w="1814"/>
          </w:tcPr>
          <w:p>
            <w:r>
              <w:t>26/07/2021</w:t>
            </w:r>
          </w:p>
        </w:tc>
        <w:tc>
          <w:tcPr>
            <w:tcW w:type="dxa" w:w="7824"/>
          </w:tcPr>
          <w:p>
            <w:r>
              <w:t>Resposta da Fazenda (cerca de um mês depois da consulta): por telefone, a SEFAZ informa que aguarda a resposta do Bradesco, banco comercial, sobre a incidência de impostos.</w:t>
            </w:r>
          </w:p>
        </w:tc>
      </w:tr>
      <w:tr>
        <w:tc>
          <w:tcPr>
            <w:tcW w:type="dxa" w:w="1814"/>
          </w:tcPr>
          <w:p>
            <w:r>
              <w:t>27 e 28/07/2021</w:t>
            </w:r>
          </w:p>
        </w:tc>
        <w:tc>
          <w:tcPr>
            <w:tcW w:type="dxa" w:w="7824"/>
          </w:tcPr>
          <w:p>
            <w:r>
              <w:t>Reunião CENTRAL, SEFAZ e Banco (27/07). Videoconferência com o Departamento de Estradas de Rodagem de São Paulo (28/07), que informa pagamento direto sem imposto nacional à mesma empresa espanhola.</w:t>
            </w:r>
          </w:p>
        </w:tc>
      </w:tr>
      <w:tr>
        <w:tc>
          <w:tcPr>
            <w:tcW w:type="dxa" w:w="1814"/>
          </w:tcPr>
          <w:p>
            <w:r>
              <w:t>24 e 26/08/2021</w:t>
            </w:r>
          </w:p>
        </w:tc>
        <w:tc>
          <w:tcPr>
            <w:tcW w:type="dxa" w:w="7824"/>
          </w:tcPr>
          <w:p>
            <w:r>
              <w:t>Despachos da SEFAZ: 24/08 sem clareza sobre o pagamento direto e remetendo a questão dos impostos à Contabilidade; 26/08 “é possível a realização de pagamento direto”. Reunião CENTRAL, SEFAZ e Casa Civil em 26/08.</w:t>
            </w:r>
          </w:p>
        </w:tc>
      </w:tr>
      <w:tr>
        <w:tc>
          <w:tcPr>
            <w:tcW w:type="dxa" w:w="1814"/>
          </w:tcPr>
          <w:p>
            <w:r>
              <w:t>01/09/2021</w:t>
            </w:r>
          </w:p>
        </w:tc>
        <w:tc>
          <w:tcPr>
            <w:tcW w:type="dxa" w:w="7824"/>
          </w:tcPr>
          <w:p>
            <w:r>
              <w:t>6ª reunião de negociação: a empresa contesta a informação de São Paulo e afirma que há incidência de impostos.</w:t>
            </w:r>
          </w:p>
        </w:tc>
      </w:tr>
      <w:tr>
        <w:tc>
          <w:tcPr>
            <w:tcW w:type="dxa" w:w="1814"/>
          </w:tcPr>
          <w:p>
            <w:r>
              <w:t>13/09/2021</w:t>
            </w:r>
          </w:p>
        </w:tc>
        <w:tc>
          <w:tcPr>
            <w:tcW w:type="dxa" w:w="7824"/>
          </w:tcPr>
          <w:p>
            <w:r>
              <w:t>A CENTRAL informa o Banco, anexando comprovante da Receita Federal, contrato de outra secretaria paulista e a Decisão SRRF/10ª RF/DISIT nº 126/2000 (retenção na fonte mesmo com pagamento direto pelo financiador), e propõe incluir ISS e IRRF no contrato, com glosa ou termo aditivo se mudar o entendimento.</w:t>
            </w:r>
          </w:p>
        </w:tc>
      </w:tr>
      <w:tr>
        <w:tc>
          <w:tcPr>
            <w:tcW w:type="dxa" w:w="1814"/>
          </w:tcPr>
          <w:p>
            <w:r>
              <w:t>16 e 21/09/2021</w:t>
            </w:r>
          </w:p>
        </w:tc>
        <w:tc>
          <w:tcPr>
            <w:tcW w:type="dxa" w:w="7824"/>
          </w:tcPr>
          <w:p>
            <w:r>
              <w:t>Parecer contábil interno: despacho da SEFAZ/SUNOT (16/09) sobre imunidade recíproca, repassado pela DIRAF à Comissão (21/09). Não responde a quais impostos incidem.</w:t>
            </w:r>
          </w:p>
        </w:tc>
      </w:tr>
      <w:tr>
        <w:tc>
          <w:tcPr>
            <w:tcW w:type="dxa" w:w="1814"/>
          </w:tcPr>
          <w:p>
            <w:r>
              <w:t>13 a 28/09/2021</w:t>
            </w:r>
          </w:p>
        </w:tc>
        <w:tc>
          <w:tcPr>
            <w:tcW w:type="dxa" w:w="7824"/>
          </w:tcPr>
          <w:p>
            <w:r>
              <w:t>Cobrança da gerente de projeto do financiador, em Washington, pela conclusão da licitação e início do projeto (data exata não consta da Nota Técnica).</w:t>
            </w:r>
          </w:p>
        </w:tc>
      </w:tr>
      <w:tr>
        <w:tc>
          <w:tcPr>
            <w:tcW w:type="dxa" w:w="1814"/>
          </w:tcPr>
          <w:p>
            <w:r>
              <w:t>28/09/2021</w:t>
            </w:r>
          </w:p>
        </w:tc>
        <w:tc>
          <w:tcPr>
            <w:tcW w:type="dxa" w:w="7824"/>
          </w:tcPr>
          <w:p>
            <w:r>
              <w:t>A gerente do Banco concorda com a proposta de incluir ISS e IRRF no valor do contrato, o que destrava o processo.</w:t>
            </w:r>
          </w:p>
        </w:tc>
      </w:tr>
      <w:tr>
        <w:tc>
          <w:tcPr>
            <w:tcW w:type="dxa" w:w="1814"/>
          </w:tcPr>
          <w:p>
            <w:r>
              <w:t>01 e 08/10/2021</w:t>
            </w:r>
          </w:p>
        </w:tc>
        <w:tc>
          <w:tcPr>
            <w:tcW w:type="dxa" w:w="7824"/>
          </w:tcPr>
          <w:p>
            <w:r>
              <w:t>7ª reunião de negociação (01/10): impostos incluídos no valor em dólar, com glosa ou termo aditivo se houver mudança de entendimento. Proposta financeira final e minuta do contrato enviadas (08/10).</w:t>
            </w:r>
          </w:p>
        </w:tc>
      </w:tr>
      <w:tr>
        <w:tc>
          <w:tcPr>
            <w:tcW w:type="dxa" w:w="1814"/>
          </w:tcPr>
          <w:p>
            <w:r>
              <w:t>13/10/2021</w:t>
            </w:r>
          </w:p>
        </w:tc>
        <w:tc>
          <w:tcPr>
            <w:tcW w:type="dxa" w:w="7824"/>
          </w:tcPr>
          <w:p>
            <w:r>
              <w:t>8ª e última reunião de negociação.</w:t>
            </w:r>
          </w:p>
        </w:tc>
      </w:tr>
      <w:tr>
        <w:tc>
          <w:tcPr>
            <w:tcW w:type="dxa" w:w="1814"/>
          </w:tcPr>
          <w:p>
            <w:r>
              <w:t>27/10/2021</w:t>
            </w:r>
          </w:p>
        </w:tc>
        <w:tc>
          <w:tcPr>
            <w:tcW w:type="dxa" w:w="7824"/>
          </w:tcPr>
          <w:p>
            <w:r>
              <w:t>Relatório Final assinado pela Comissão de Avaliação (21/10 aprovado pela consultora). Valor final: US$ 161.081,50 (incluídos US$ 18.531,50 de impostos) e R$ 955.985,00.</w:t>
            </w:r>
          </w:p>
        </w:tc>
      </w:tr>
      <w:tr>
        <w:tc>
          <w:tcPr>
            <w:tcW w:type="dxa" w:w="1814"/>
          </w:tcPr>
          <w:p>
            <w:r>
              <w:t>03/11/2021</w:t>
            </w:r>
          </w:p>
        </w:tc>
        <w:tc>
          <w:tcPr>
            <w:tcW w:type="dxa" w:w="7824"/>
          </w:tcPr>
          <w:p>
            <w:r>
              <w:t>Homologação do certame.</w:t>
            </w:r>
          </w:p>
        </w:tc>
      </w:tr>
      <w:tr>
        <w:tc>
          <w:tcPr>
            <w:tcW w:type="dxa" w:w="1814"/>
          </w:tcPr>
          <w:p>
            <w:r>
              <w:t>30/11/2021</w:t>
            </w:r>
          </w:p>
        </w:tc>
        <w:tc>
          <w:tcPr>
            <w:tcW w:type="dxa" w:w="7824"/>
          </w:tcPr>
          <w:p>
            <w:r>
              <w:t>Assinatura do contrato (Contrato PRESI 012/2021).</w:t>
            </w:r>
          </w:p>
        </w:tc>
      </w:tr>
      <w:tr>
        <w:tc>
          <w:tcPr>
            <w:tcW w:type="dxa" w:w="1814"/>
          </w:tcPr>
          <w:p>
            <w:r>
              <w:t>12/07/2022</w:t>
            </w:r>
          </w:p>
        </w:tc>
        <w:tc>
          <w:tcPr>
            <w:tcW w:type="dxa" w:w="7824"/>
          </w:tcPr>
          <w:p>
            <w:r>
              <w:t>Portaria da Comissão de Fiscalização e Gestão finalmente assinada por todos os órgãos (refeita em 01/12/2021 por troca do Secretário de Transportes).</w:t>
            </w:r>
          </w:p>
        </w:tc>
      </w:tr>
      <w:tr>
        <w:tc>
          <w:tcPr>
            <w:tcW w:type="dxa" w:w="1814"/>
          </w:tcPr>
          <w:p>
            <w:r>
              <w:t>19/09/2022</w:t>
            </w:r>
          </w:p>
        </w:tc>
        <w:tc>
          <w:tcPr>
            <w:tcW w:type="dxa" w:w="7824"/>
          </w:tcPr>
          <w:p>
            <w:r>
              <w:t>Emissão da Ordem de Serviço e início efetivo do contrato.</w:t>
            </w:r>
          </w:p>
        </w:tc>
      </w:tr>
      <w:tr>
        <w:tc>
          <w:tcPr>
            <w:tcW w:type="dxa" w:w="1814"/>
          </w:tcPr>
          <w:p>
            <w:r>
              <w:t>30/12/2022</w:t>
            </w:r>
          </w:p>
        </w:tc>
        <w:tc>
          <w:tcPr>
            <w:tcW w:type="dxa" w:w="7824"/>
          </w:tcPr>
          <w:p>
            <w:r>
              <w:t>Data-limite do financiamento: fim do Acordo de Empréstimo 8117-BR; a partir daí, pagamento com recursos próprios do Estado.</w:t>
            </w:r>
          </w:p>
        </w:tc>
      </w:tr>
      <w:tr>
        <w:tc>
          <w:tcPr>
            <w:tcW w:type="dxa" w:w="1814"/>
          </w:tcPr>
          <w:p>
            <w:r>
              <w:t>23/03/2023</w:t>
            </w:r>
          </w:p>
        </w:tc>
        <w:tc>
          <w:tcPr>
            <w:tcW w:type="dxa" w:w="7824"/>
          </w:tcPr>
          <w:p>
            <w:r>
              <w:t>Nota Técnica sugere termo aditivo para adequar o contrato, por contradição entre as cláusulas 38.1 e 39.1/39.2 e pela incidência de impostos ainda não definida.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