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ASSGER — Assessoria de Governança, Riscos e Compliance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Posicionamento da ASSGER sobre a proposta de revisão do POP de Contratação Direta ou por Inexigibilidade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Superintendência Administrativa (SUPADM)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Referências: </w:t>
      </w:r>
      <w:r>
        <w:rPr>
          <w:rFonts w:ascii="Arial" w:cs="Arial" w:eastAsia="Arial" w:hAnsi="Arial"/>
          <w:sz w:val="20"/>
          <w:szCs w:val="20"/>
        </w:rPr>
        <w:t xml:space="preserve">Proposta da SUPADM (SEI 129659709); POP vigente, versão 2.0 (SEI 57011112, processo SEI-100006/000538/2022).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Normas vigentes consideradas: </w:t>
      </w:r>
      <w:r>
        <w:rPr>
          <w:rFonts w:ascii="Arial" w:cs="Arial" w:eastAsia="Arial" w:hAnsi="Arial"/>
          <w:sz w:val="20"/>
          <w:szCs w:val="20"/>
        </w:rPr>
        <w:t xml:space="preserve">Lei 13.303/2016; Decreto Estadual 46.188/2017; Estatuto Social; Regimento Interno; RILC versão 2.0 (maio/2023); Lei Estadual 7.753/2017; Código de Conduta Ética e de Integridade.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Posicionamento da ASSGER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 ASSGER recomenda que a proposta não seja aprovada na forma atual. Há sete pontos que a proposta introduz ou agrava (seção 2) e oito pontos que o POP vigente já não atende e que a proposta mantém (seção 3). Recomenda-se corrigir todos na mesma revisão. Os demais pontos foram testados e não apresentam divergência com as normas vigentes.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Os cinco pontos de prioridade alta são: </w:t>
      </w:r>
      <w:r>
        <w:rPr>
          <w:rFonts w:ascii="Arial" w:cs="Arial" w:eastAsia="Arial" w:hAnsi="Arial"/>
          <w:sz w:val="20"/>
          <w:szCs w:val="20"/>
        </w:rPr>
        <w:t xml:space="preserve">consulta a SIGA, CNEP e CEIS (ponto 1); parecer obrigatório da ASSJUR (ponto 2); ratificação pelo Diretor-Presidente (ponto 8); exceções à DDI sem base normativa (ponto 9); justificativa do preço e razão da escolha do fornecedor (ponto 10).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Prioridade: </w:t>
      </w:r>
      <w:r>
        <w:rPr>
          <w:rFonts w:ascii="Arial" w:cs="Arial" w:eastAsia="Arial" w:hAnsi="Arial"/>
          <w:sz w:val="20"/>
          <w:szCs w:val="20"/>
        </w:rPr>
        <w:t xml:space="preserve">Alta = corrigir antes de aprovar. Média = corrigir nesta revisão. Baixa = recomendável.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O que a proposta introduz ou agrava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4700"/>
        <w:gridCol w:w="2700"/>
        <w:gridCol w:w="3870"/>
        <w:gridCol w:w="900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Onde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está errado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fazer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item 1. POP vigente, B.1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proposta retira a consulta a SIGA, CNEP e CEIS. Fica só a verificação de "Certidões", que não equivale à consulta às listas de sanção.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13.303/2016, art. 38; RILC, art. 10 (impedimento de contratar empresa suspensa, impedida ou declarada inidônea).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Manter a consulta a SIGA, CNEP e CEIS entre os controles do item 1, antes da contratação.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item 1 (texto inicial). POP vigente, A.9 e A.10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proposta prevê documentos "já aprovados pela ASSJUR, se necessário". O Regimento torna obrigatório o parecer prévio da ASSJUR sobre inexigibilidade e dispensa, ressalvada a dispensa em razão do valor, a critério do administrador.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 Interno, art. 22.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Dizer que o parecer é obrigatório na inexigibilidade e na dispensa. Só a dispensa em razão do valor pode ficar sem parecer, a critério do administrador, com registro nos autos.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itens 1 e 3(c). POP vigente, B.1(b), B.3(c) e B.4(c)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verificação das recomendações da ASSJUR sai do início, passa a "caso aplicável" e só ocorre depois da DDI. A manifestação da SUPADM deixa de citar o RILC. O Regimento manda certificar que "todas" as recomendações foram atendidas.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 Interno, art. 29, IV.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Restabelecer a verificação antes da DDI, sem a condição "caso aplicável", e a referência ao RILC na manifestação da SUPADM.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itens 1(d) (2º) e 2(c). POP vigente, B.1(d) e B.2(b)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DDI passa a ser feita "de acordo com o valor", sem dizer qual. Saem os critérios de alto grau de risco de integridade e de Política de Alçada, e o Relatório deixa de trazer "medidas a serem adotadas".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 Interno, art. 18 (integridade nos processos de contratação); RILC, art. 4º, V.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o critério que torna a DDI obrigatória (o valor ou o ato que o fixe) e manter, no Relatório, as medidas a adotar.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item 1(d) (1º), observação e controles. POP vigente, A.8(b)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proposta pede ao fornecedor o formulário de avaliação do Programa de Integridade antes da contratação e não diz se valor e prazo são cumulativos. A Lei 7.753 dá 180 dias depois da assinatura para implantar o programa e, antes disso, pede só a declaração de quem já o possui.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7.753/2017, arts. 1º, 4º, 5º e 10.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Deixar claro que a avaliação prévia serve de insumo de risco e não condiciona a contratação. Pedir a declaração do art. 10 a quem já tem programa e avisar os demais do prazo de 180 dias. Citar a lei e dizer que valor e prazo são cumulativos (UFIR-RJ do ano da contratação).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itens 3(e), 4, 5 e 6(a). POP vigente, B.9 a B.11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Nota de Empenho não tem etapa nem responsável, a NAD é emitida duas vezes (itens 4 e 5) e SUPLAN e DIRPLA/GERORT parecem tratar da mesma função. A ordem nova, com a NAD antes da assinatura, é uma melhora.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RILC, art. 121, V (compatibilidade orçamentária). Lei 4.320/1964, art. 60: confirmar com orçamento e finanças.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Criar a etapa de autorização e emissão da NE, com responsável, antes da assinatura. Eliminar a duplicidade da NAD e uniformizar a unidade responsável.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Proposta, itens 1, 3, 4 e 8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Há letras repetidas (dois "d" no item 1 e dois "b" no item 3), o que compromete as remissões. O item 8 remete ao "passo a" sem dizer de qual POP.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 (Programa de Conformidade).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 numeração e as remissões.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Baixa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O que o POP vigente já não atende e a proposta mantém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São pontos que já existiam. A revisão é a oportunidade de corrigi-los.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4700"/>
        <w:gridCol w:w="2700"/>
        <w:gridCol w:w="3870"/>
        <w:gridCol w:w="900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Onde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está errado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fazer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A.3, B.5 e B.6. Proposta, item 5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Nem o POP vigente nem a proposta preveem a ratificação da dispensa ou da inexigibilidade pelo Diretor-Presidente. A autorização do passo A.3 é para iniciar o procedimento.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RILC, art. 123.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Criar o passo de ratificação pelo Diretor-Presidente, no SEI, antes da assinatura.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B.1(e). Proposta, item 1(d) (2º)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POP dispensa a DDI em quatro situações: valor abaixo de R$ 20.000,00, aditivo, adesão a Ata de Registro de Preços e contratação com órgãos públicos. Nenhuma tem base normativa. Aditivo e ARP não são contratação direta, e "órgãos da Administração Pública" não diz se inclui empresas estatais.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 norma que ampare as exceções. A função de integridade está no Regimento, art. 18, no Estatuto, art. 72, e no Código de Conduta, seção 4.2.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Indicar a norma de cada exceção ou retirá-la. Dizer se "órgãos públicos" inclui empresas estatais.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A.4(c) e A.5. Proposta, item 1(c)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justificativa do preço e a razão da escolha do fornecedor não são conferidas como obrigatórias. O POP vigente não as cita e a proposta só verifica a pesquisa "se o Parecer ponderar".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13.303/2016, art. 30, §3º, II e III; RILC, art. 121, VI e VII e parágrafo único, e art. 21.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Conferir sempre os dois elementos. Na inexigibilidade, comparar com os preços que a contratada pratica com outros entes. Na dispensa, usar o art. 21 do RILC e manter a Orientação PGE 13 como complemento.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A.4(c). Proposta, item 1(b)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inexigibilidade só é conferida pela exclusividade. Ficam de fora a notória especialização e a checagem da veracidade da documentação.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13.303/2016, art. 30, II e §1º; RILC, art. 125, II e §§ 1º e 2º.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Incluir a conferência do inciso II, as formas de prova de exclusividade do RILC, art. 125, §1º, e a confirmação da veracidade dos documentos.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B.3(e). Proposta, item 6(b)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convocação formal do fornecedor para assinar, com prazo de 5 dias úteis e lista de documentos. O fornecedor assina antes das aprovações da DIRAF e da Presidência.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RILC, art. 136.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Criar a convocação depois das aprovações internas e só então a assinatura do fornecedor.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B.3(f) e B.6. Proposta, item 8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Só se prevê o extrato no DOERJ. Falta a publicação da íntegra do contrato no site da CENTRAL em até 30 dias.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RILC, art. 137.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Incluir a publicação no site, com prazo e responsável. Pelo Regimento, art. 30, a GERLIC prepara a matéria e a CHEGAB providencia a publicação.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B.5 e B.6. Proposta, itens 7 e 8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etapa de autorização da Diretoria Executiva para contratos de valor igual ou superior ao da modalidade concorrência. Só há aprovação da DIRAF e assinatura da Presidência.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art. 34, VI.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Incluir a autorização da Diretoria Executiva antes da assinatura, nos contratos acima desse valor (inclui inexigibilidades de valor alto).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POP vigente, B.12. Proposta, item 9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POP não atribui ao Gestor do Contrato a fiscalização do Programa de Integridade: acompanhar o prazo de 180 dias, receber a prova documental e informar o Ordenador de Despesas sobre descumprimento ou atraso.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7.753/2017, arts. 6º, 11 e 12.</w:t>
            </w:r>
          </w:p>
        </w:tc>
        <w:tc>
          <w:tcPr>
            <w:tcW w:type="dxa" w:w="3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Incluir essa atribuição na etapa de execução ou remeter ao procedimento específico. A ASSGER atua como apoio técnico, preservando a segregação de funções.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Atenção: novo RILC (Minuta ainda não aprovada)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Esta seção não aponta não conformidade, porque a Minuta não está em vigor. Registra pontos que exigirão nova revisão do POP quando o novo RILC for aprovado.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770"/>
      </w:tblGrid>
      <w:tr>
        <w:trPr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Tema</w:t>
            </w:r>
          </w:p>
        </w:tc>
        <w:tc>
          <w:tcPr>
            <w:tcW w:type="dxa" w:w="1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a Minuta prevê e o impacto no POP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DDI para todos</w:t>
            </w:r>
          </w:p>
        </w:tc>
        <w:tc>
          <w:tcPr>
            <w:tcW w:type="dxa" w:w="1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Minuta submete todos os interessados em iniciar ou manter relacionamento com a CENTRAL a diligências de integridade, sem exceção à realização da DDI. As quatro exceções do POP (ponto 9) deixariam de ter amparo.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Risco de integridade alto</w:t>
            </w:r>
          </w:p>
        </w:tc>
        <w:tc>
          <w:tcPr>
            <w:tcW w:type="dxa" w:w="1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receber grau de risco alto não poderá participar de procedimentos de contratação, salvo exceções previstas em norma interna. O POP precisará tratar esse impedimento.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0"/>
          <w:szCs w:val="20"/>
        </w:rPr>
        <w:t xml:space="preserve">Há outras diferenças entre as versões da Minuta em circulação (pesquisa de preços, documentos exigidos na assinatura e formas de provar exclusividade). Elas devem ser conferidas na versão final, antes da nova revisão do POP.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SUPADM: reapresentar a proposta com os ajustes das seções 2 e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ASSGER: reanalisar a nova versão da proposta.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Quando o novo RILC for aprovado: revisar o POP nos pontos da seção 4.</w:t>
      </w:r>
    </w:p>
    <w:p>
      <w:pPr>
        <w:spacing w:after="100" w:before="240"/>
      </w:pPr>
      <w:r>
        <w:rPr>
          <w:rFonts w:ascii="Arial" w:cs="Arial" w:eastAsia="Arial" w:hAnsi="Arial"/>
          <w:sz w:val="20"/>
          <w:szCs w:val="20"/>
        </w:rPr>
        <w:t xml:space="preserve">ASSGER, [data]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Posicionamento da ASSGER sobre a proposta de revisão do POP de Contratação Direta ou por Inexigibilidade</dc:title>
  <dc:creator>ASSGER</dc:creator>
  <cp:lastModifiedBy>Un-named</cp:lastModifiedBy>
  <cp:revision>1</cp:revision>
  <dcterms:created xsi:type="dcterms:W3CDTF">2026-10-15T15:32:15.699Z</dcterms:created>
  <dcterms:modified xsi:type="dcterms:W3CDTF">2026-10-15T15:32:15.712Z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