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O RELÓGIO E O MEDO</w:t>
      </w:r>
    </w:p>
    <w:p>
      <w:r>
        <w:rPr>
          <w:i/>
          <w:color w:val="0000FF"/>
          <w:sz w:val="19"/>
        </w:rPr>
        <w:t>Em azul: trechos a verificar ou alterar, numerados conforme o quadro ao final. As observações também estão nos comentários do Word.</w:t>
      </w:r>
    </w:p>
    <w:p>
      <w:pPr>
        <w:spacing w:after="200"/>
        <w:jc w:val="both"/>
      </w:pPr>
      <w:r>
        <w:rPr>
          <w:i w:val="0"/>
        </w:rPr>
        <w:t xml:space="preserve">Enquanto as portas abriam e fechavam, o calendário andava. As propostas tinham validade de </w:t>
      </w:r>
      <w:commentRangeStart w:id="0"/>
      <w:r>
        <w:rPr>
          <w:i w:val="0"/>
          <w:color w:val="0000FF"/>
        </w:rPr>
        <w:t>90 (noventa) dias corridos após o prazo final para a sua apresentação, até 21/12/2020.</w:t>
      </w:r>
      <w:commentRangeEnd w:id="0"/>
      <w:r>
        <w:rPr>
          <w:rStyle w:val="CommentReference"/>
        </w:rPr>
        <w:commentReference w:id="0"/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</w:rPr>
        <w:t xml:space="preserve"> </w:t>
      </w:r>
      <w:commentRangeStart w:id="1"/>
      <w:r>
        <w:rPr>
          <w:i w:val="0"/>
          <w:color w:val="0000FF"/>
        </w:rPr>
        <w:t>O financiador aprovou a extensão desse prazo, mas o fechamento da licitação não ocorria.</w:t>
      </w:r>
      <w:commentRangeEnd w:id="1"/>
      <w:r>
        <w:rPr>
          <w:rStyle w:val="CommentReference"/>
        </w:rPr>
        <w:commentReference w:id="1"/>
      </w:r>
      <w:r>
        <w:rPr>
          <w:color w:val="0000FF"/>
          <w:sz w:val="16"/>
          <w:vertAlign w:val="superscript"/>
        </w:rPr>
        <w:t xml:space="preserve"> [2]</w:t>
      </w:r>
      <w:r>
        <w:rPr>
          <w:i w:val="0"/>
        </w:rPr>
        <w:t xml:space="preserve"> A não-objeção do financiador dependia do fechamento da proposta financeira.</w:t>
      </w:r>
    </w:p>
    <w:p>
      <w:pPr>
        <w:spacing w:after="200"/>
        <w:jc w:val="both"/>
      </w:pPr>
      <w:r>
        <w:rPr>
          <w:i w:val="0"/>
        </w:rPr>
        <w:t xml:space="preserve">Do outro lado estavam </w:t>
      </w:r>
      <w:commentRangeStart w:id="2"/>
      <w:r>
        <w:rPr>
          <w:i w:val="0"/>
          <w:color w:val="0000FF"/>
        </w:rPr>
        <w:t>os órgãos de controle. Um erro para qualquer lado podia virar apontamento do Tribunal de Contas do Estado.</w:t>
      </w:r>
      <w:commentRangeEnd w:id="2"/>
      <w:r>
        <w:rPr>
          <w:rStyle w:val="CommentReference"/>
        </w:rPr>
        <w:commentReference w:id="2"/>
      </w:r>
      <w:r>
        <w:rPr>
          <w:color w:val="0000FF"/>
          <w:sz w:val="16"/>
          <w:vertAlign w:val="superscript"/>
        </w:rPr>
        <w:t xml:space="preserve"> [3]</w:t>
      </w:r>
      <w:r>
        <w:rPr>
          <w:i w:val="0"/>
        </w:rPr>
        <w:t xml:space="preserve"> Incluir um tributo indevido seria pagar a mais com dinheiro público. Deixar de reter um tributo devido faria da empresa, como fonte pagadora, responsável pelo recolhimento, </w:t>
      </w:r>
      <w:commentRangeStart w:id="3"/>
      <w:r>
        <w:rPr>
          <w:i w:val="0"/>
          <w:color w:val="0000FF"/>
        </w:rPr>
        <w:t>com multa e juros</w:t>
      </w:r>
      <w:commentRangeEnd w:id="3"/>
      <w:r>
        <w:rPr>
          <w:rStyle w:val="CommentReference"/>
        </w:rPr>
        <w:commentReference w:id="3"/>
      </w:r>
      <w:r>
        <w:rPr>
          <w:color w:val="0000FF"/>
          <w:sz w:val="16"/>
          <w:vertAlign w:val="superscript"/>
        </w:rPr>
        <w:t xml:space="preserve"> [4]</w:t>
      </w:r>
      <w:r>
        <w:rPr>
          <w:i w:val="0"/>
        </w:rPr>
        <w:t xml:space="preserve">. Nas duas hipóteses, </w:t>
      </w:r>
      <w:commentRangeStart w:id="4"/>
      <w:r>
        <w:rPr>
          <w:i w:val="0"/>
          <w:color w:val="0000FF"/>
        </w:rPr>
        <w:t>a assinatura na planilha seria a de Luciana</w:t>
      </w:r>
      <w:commentRangeEnd w:id="4"/>
      <w:r>
        <w:rPr>
          <w:rStyle w:val="CommentReference"/>
        </w:rPr>
        <w:commentReference w:id="4"/>
      </w:r>
      <w:r>
        <w:rPr>
          <w:color w:val="0000FF"/>
          <w:sz w:val="16"/>
          <w:vertAlign w:val="superscript"/>
        </w:rPr>
        <w:t xml:space="preserve"> [5]</w:t>
      </w:r>
      <w:r>
        <w:rPr>
          <w:i w:val="0"/>
        </w:rPr>
        <w:t>.</w:t>
      </w:r>
    </w:p>
    <w:p>
      <w:pPr>
        <w:spacing w:before="320"/>
      </w:pPr>
      <w:r>
        <w:rPr>
          <w:b/>
        </w:rPr>
        <w:t>Quadro de alterações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31"/>
            <w:shd w:val="clear" w:fill="D9E2F3"/>
          </w:tcPr>
          <w:p>
            <w:r/>
            <w:r>
              <w:rPr>
                <w:b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“90 (noventa) dias corridos [...] até 21/12/2020”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Datas não fecham: prazo final 21/09/2020 (edital), propostas recebidas em 29/09/2020 (Nota Técnica) e propostas financeiras abertas em 12/01/2021, depois da validade.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“As propostas tinham validade de 90 dias corridos, até 21/12/2020, mas as propostas financeiras só foram abertas em 12/01/2021.” (conferir a data de recebimento)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 financiador aprovou a extensão desse prazo”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Sem documento nos arquivos; as Diretrizes exigiam não objeção do Banco para cada extensão relevante.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“O financiador aprovou, a cada pedido, a extensão desse prazo, até [data], mas o fechamento da licitação não ocorria.” (indicar as datas)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“os órgãos de controle [...] Tribunal de Contas do Estado”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Não há menção nos documentos; os controles documentados são o Banco (processo viciado, auditoria) e a sanção disciplinar prevista na Decisão da Receita.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“Do outro lado estavam os órgãos de controle e o próprio financiador, que podia considerar viciado o processo e cancelar a parte do empréstimo. Na visão dela, um erro para qualquer lado podia virar apontamento do Tribunal de Contas.”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“com multa e juros”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Falta fonte; possível erro de digitação em “com fonte pagadora”.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Manter, citando a obrigação de recolher mesmo sem reter (Receita) e os encargos moratórios (PGE).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 assinatura na planilha seria a de Luciana”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 planilha não é assinada; os signatários são outros.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assinatura nos autos, nas atas e nas propostas ao financiador seria a de Luciana.”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20T23:50:41Z">
    <w:p>
      <w:pPr>
        <w:pStyle w:val="CommentText"/>
      </w:pPr>
      <w:r>
        <w:rPr>
          <w:rStyle w:val="CommentReference"/>
        </w:rPr>
        <w:annotationRef/>
      </w:r>
      <w:r>
        <w:t>Conferir as datas. O edital fixa 90 dias “até 21/12/2020” (Folha de Dados, 12.1) e o prazo final de apresentação em 21/09/2020 (17.7); a Nota Técnica (item 33) registra o recebimento das propostas em 29/09/2020, e 90 dias depois seria 28/12/2020. Além disso, as propostas financeiras só foram abertas em 12/01/2021, depois de 21/12/2020: a validade já havia sido estendida antes disso, ou o texto precisa dizer que o prazo venceu sem decisão.</w:t>
      </w:r>
    </w:p>
  </w:comment>
  <w:comment w:id="1" w:author="Claude" w:initials="CL" w:date="2026-10-20T23:50:41Z">
    <w:p>
      <w:pPr>
        <w:pStyle w:val="CommentText"/>
      </w:pPr>
      <w:r>
        <w:rPr>
          <w:rStyle w:val="CommentReference"/>
        </w:rPr>
        <w:annotationRef/>
      </w:r>
      <w:r>
        <w:t>Não há, nos arquivos, o pedido nem a aprovação da extensão. Pelas Diretrizes (Apêndice 1, parágrafo 2(d), Anexo 36_37), a primeira prorrogação superior a quatro semanas e todas as seguintes exigiam não objeção prévia do Banco. Se houve mais de uma, o texto ganha força: “cada extensão precisava do aval do Banco”. Indicar as datas e a nova validade.</w:t>
      </w:r>
    </w:p>
  </w:comment>
  <w:comment w:id="2" w:author="Claude" w:initials="CL" w:date="2026-10-20T23:50:41Z">
    <w:p>
      <w:pPr>
        <w:pStyle w:val="CommentText"/>
      </w:pPr>
      <w:r>
        <w:rPr>
          <w:rStyle w:val="CommentReference"/>
        </w:rPr>
        <w:annotationRef/>
      </w:r>
      <w:r>
        <w:t>Nos documentos, não há menção ao Tribunal de Contas nem a “órgãos de controle” como ameaça; o temor é inferência sua, o que é legítimo em um caso, mas convém dizer que é a percepção dela. Há controles documentados: o Banco podia declarar viciado o processo e cancelar a parte do empréstimo (Diretrizes, parágrafo 2.? e Apêndice 1; Anexo 45_48, p. 572 e 699) e tinha direito de auditoria; a Decisão da Receita (item 26) cita sanção disciplinar a servidor que deixe de recolher o imposto (art. 979 do RIR).</w:t>
      </w:r>
    </w:p>
  </w:comment>
  <w:comment w:id="3" w:author="Claude" w:initials="CL" w:date="2026-10-20T23:50:41Z">
    <w:p>
      <w:pPr>
        <w:pStyle w:val="CommentText"/>
      </w:pPr>
      <w:r>
        <w:rPr>
          <w:rStyle w:val="CommentReference"/>
        </w:rPr>
        <w:annotationRef/>
      </w:r>
      <w:r>
        <w:t>Fonte para “multa e juros”: a Decisão da Receita diz que a fonte pagadora fica obrigada a recolher o imposto, ainda que não o tenha retido (item 19, art. 722 do RIR); a PGE, na Manifestação nº 28, fala em “encargos moratórios”. Erro de digitação provável: “com fonte pagadora” (“como”).</w:t>
      </w:r>
    </w:p>
  </w:comment>
  <w:comment w:id="4" w:author="Claude" w:initials="CL" w:date="2026-10-20T23:50:41Z">
    <w:p>
      <w:pPr>
        <w:pStyle w:val="CommentText"/>
      </w:pPr>
      <w:r>
        <w:rPr>
          <w:rStyle w:val="CommentReference"/>
        </w:rPr>
        <w:annotationRef/>
      </w:r>
      <w:r>
        <w:t>A planilha de preços não é assinada por ninguém. Os signatários nos documentos são: contrato, o Diretor-Presidente e o Diretor de Administração e Finanças (29 e 30/11/2021); Relatório Final, os membros da Comissão de Avaliação (a Nota Técnica, item 142); a Presidente da Comissão de Licitação assina despachos, atas e e-mails. Sugestão: “a assinatura nos autos seria a de Luciana”.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