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color w:val="595959"/>
          <w:sz w:val="20"/>
          <w:szCs w:val="20"/>
        </w:rPr>
        <w:t xml:space="preserve">NOTA TÉCNICA</w:t>
      </w:r>
    </w:p>
    <w:p>
      <w:pPr>
        <w:spacing w:after="60"/>
      </w:pPr>
      <w:r>
        <w:rPr>
          <w:rFonts w:ascii="Arial" w:cs="Arial" w:eastAsia="Arial" w:hAnsi="Arial"/>
          <w:b/>
          <w:bCs/>
          <w:color w:val="1F3864"/>
          <w:sz w:val="32"/>
          <w:szCs w:val="32"/>
        </w:rPr>
        <w:t xml:space="preserve">Posicionamento da ASSGER sobre a proposta de revisão do POP de Contratação por Pregão/Licitação</w:t>
      </w:r>
    </w:p>
    <w:p>
      <w:pPr>
        <w:spacing w:after="40" w:before="160"/>
      </w:pPr>
      <w:r>
        <w:rPr>
          <w:rFonts w:ascii="Arial" w:cs="Arial" w:eastAsia="Arial" w:hAnsi="Arial"/>
          <w:b/>
          <w:bCs/>
          <w:sz w:val="20"/>
          <w:szCs w:val="20"/>
        </w:rPr>
        <w:t xml:space="preserve">Referências: </w:t>
      </w:r>
      <w:r>
        <w:rPr>
          <w:rFonts w:ascii="Arial" w:cs="Arial" w:eastAsia="Arial" w:hAnsi="Arial"/>
          <w:sz w:val="20"/>
          <w:szCs w:val="20"/>
        </w:rPr>
        <w:t xml:space="preserve">POP vigente – Procedimento Padrão de Contratação por Pregão/Licitação; Sugestão de Fluxo para Contratação por Pregão/Licitação – SUPADM (SEI nº 129661192); Estatuto Social da CENTRAL (2024); Regimento Interno da CENTRAL; RILC versão 2.0 (maio/2023); Minuta do RILC (SEI nº 105673081); Lei nº 13.303/2016; Lei Estadual nº 7.753/2017.</w:t>
      </w:r>
    </w:p>
    <w:p>
      <w:pPr>
        <w:spacing w:after="40" w:before="0"/>
      </w:pPr>
      <w:r>
        <w:rPr>
          <w:rFonts w:ascii="Arial" w:cs="Arial" w:eastAsia="Arial" w:hAnsi="Arial"/>
          <w:b/>
          <w:bCs/>
          <w:sz w:val="20"/>
          <w:szCs w:val="20"/>
        </w:rPr>
        <w:t xml:space="preserve">Normas vigentes consideradas: </w:t>
      </w:r>
      <w:r>
        <w:rPr>
          <w:rFonts w:ascii="Arial" w:cs="Arial" w:eastAsia="Arial" w:hAnsi="Arial"/>
          <w:sz w:val="20"/>
          <w:szCs w:val="20"/>
        </w:rPr>
        <w:t xml:space="preserve">Lei 13.303/2016; Estatuto Social; Regimento Interno; RILC versão 2.0 (maio/2023); Lei Estadual 7.753/2017. A Minuta do novo RILC não está em vigor e aparece só na seção 5.</w:t>
      </w:r>
    </w:p>
    <w:p>
      <w:pPr>
        <w:pStyle w:val="Heading1"/>
        <w:spacing w:after="120" w:before="280"/>
      </w:pPr>
      <w:r>
        <w:rPr>
          <w:rFonts w:ascii="Arial" w:cs="Arial" w:eastAsia="Arial" w:hAnsi="Arial"/>
          <w:b/>
          <w:bCs/>
          <w:color w:val="1F3864"/>
          <w:sz w:val="26"/>
          <w:szCs w:val="26"/>
        </w:rPr>
        <w:t xml:space="preserve">1. INTRODUÇÃO</w:t>
      </w:r>
    </w:p>
    <w:p>
      <w:pPr>
        <w:spacing w:after="100" w:before="0"/>
      </w:pPr>
      <w:r>
        <w:rPr>
          <w:rFonts w:ascii="Arial" w:cs="Arial" w:eastAsia="Arial" w:hAnsi="Arial"/>
          <w:sz w:val="20"/>
          <w:szCs w:val="20"/>
        </w:rPr>
        <w:t xml:space="preserve">Esta Nota Técnica apresenta o posicionamento da ASSGER sobre a sugestão da SUPADM de alteração do Procedimento Padrão de Contratação por Pregão/Licitação (fase posterior à preparatória). O que não está em conformidade com as normas vigentes e o que fazer estão reunidos nas seções 2 e 4. A seção 3 compara o POP vigente com a sugestão. A seção 5 registra os pontos que exigirão nova revisão quando o novo RILC for aprovado. A seção 6 traz o posicionamento final.</w:t>
      </w:r>
    </w:p>
    <w:p>
      <w:pPr>
        <w:spacing w:after="100" w:before="0"/>
      </w:pPr>
      <w:r>
        <w:rPr>
          <w:rFonts w:ascii="Arial" w:cs="Arial" w:eastAsia="Arial" w:hAnsi="Arial"/>
          <w:b/>
          <w:bCs/>
          <w:sz w:val="20"/>
          <w:szCs w:val="20"/>
        </w:rPr>
        <w:t xml:space="preserve">Normas consideradas. </w:t>
      </w:r>
      <w:r>
        <w:rPr>
          <w:rFonts w:ascii="Arial" w:cs="Arial" w:eastAsia="Arial" w:hAnsi="Arial"/>
          <w:sz w:val="20"/>
          <w:szCs w:val="20"/>
        </w:rPr>
        <w:t xml:space="preserve">Somente normas vigentes. A Minuta do novo RILC, ainda não aprovada e em análise na ASSJUR, não gera não conformidade. Em caso de divergência, prevalece a norma de maior hierarquia, segundo o Programa de Conformidade Normativa: Estatuto, Regimento, Políticas, RILC e normas internas, POPs, sempre sob a Lei 13.303/2016.</w:t>
      </w:r>
    </w:p>
    <w:p>
      <w:pPr>
        <w:spacing w:after="100" w:before="0"/>
      </w:pPr>
      <w:r>
        <w:rPr>
          <w:rFonts w:ascii="Arial" w:cs="Arial" w:eastAsia="Arial" w:hAnsi="Arial"/>
          <w:b/>
          <w:bCs/>
          <w:sz w:val="20"/>
          <w:szCs w:val="20"/>
        </w:rPr>
        <w:t xml:space="preserve">Classificação e critério (seção 4). </w:t>
      </w:r>
      <w:r>
        <w:rPr>
          <w:rFonts w:ascii="Arial" w:cs="Arial" w:eastAsia="Arial" w:hAnsi="Arial"/>
          <w:sz w:val="20"/>
          <w:szCs w:val="20"/>
        </w:rPr>
        <w:t xml:space="preserve">Cada achado é testado quanto a Legalidade, Competência, Completude, Atualização, Rastreabilidade e Sobreposição e classificado em Conforme com Ressalva, Não Conforme, Não Conformidade Crítica ou Não Verificável, conforme a Metodologia do Programa (seção 7). Não Conformidade Crítica é a divergência com potencial de gerar nulidade de atos, responsabilização de gestores ou apontamento de órgãos de controle.</w:t>
      </w:r>
    </w:p>
    <w:p>
      <w:pPr>
        <w:spacing w:after="100" w:before="0"/>
      </w:pPr>
      <w:r>
        <w:rPr>
          <w:rFonts w:ascii="Arial" w:cs="Arial" w:eastAsia="Arial" w:hAnsi="Arial"/>
          <w:b/>
          <w:bCs/>
          <w:sz w:val="20"/>
          <w:szCs w:val="20"/>
        </w:rPr>
        <w:t xml:space="preserve">Impacto, probabilidade e criticidade (seção 4). </w:t>
      </w:r>
      <w:r>
        <w:rPr>
          <w:rFonts w:ascii="Arial" w:cs="Arial" w:eastAsia="Arial" w:hAnsi="Arial"/>
          <w:sz w:val="20"/>
          <w:szCs w:val="20"/>
        </w:rPr>
        <w:t xml:space="preserve">Cada achado recebe impacto e probabilidade (Baixo, Médio ou Alto), com justificativa curta. O cruzamento dos dois dá a criticidade: Baixo, Médio, Alto ou Crítico, pela matriz da Metodologia (seção 8). Essa criticidade mede o risco da não conformidade. Não é o grau de risco de integridade do fornecedor na DDI, que a ASSGER não atribui por não dispor de ferramenta e critério.</w:t>
      </w:r>
    </w:p>
    <w:p>
      <w:pPr>
        <w:pStyle w:val="Heading1"/>
        <w:spacing w:after="120" w:before="280"/>
      </w:pPr>
      <w:r>
        <w:rPr>
          <w:rFonts w:ascii="Arial" w:cs="Arial" w:eastAsia="Arial" w:hAnsi="Arial"/>
          <w:b/>
          <w:bCs/>
          <w:color w:val="1F3864"/>
          <w:sz w:val="26"/>
          <w:szCs w:val="26"/>
        </w:rPr>
        <w:t xml:space="preserve">2. O QUE FAZER</w:t>
      </w:r>
    </w:p>
    <w:p>
      <w:pPr>
        <w:spacing w:after="100" w:before="0"/>
      </w:pPr>
      <w:r>
        <w:rPr>
          <w:rFonts w:ascii="Arial" w:cs="Arial" w:eastAsia="Arial" w:hAnsi="Arial"/>
          <w:i/>
          <w:iCs/>
          <w:sz w:val="18"/>
          <w:szCs w:val="18"/>
        </w:rPr>
        <w:t xml:space="preserve">Resumo das ações, agrupadas por assunto. A coluna "Achado" remete ao detalhamento na seção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6738"/>
        <w:gridCol w:w="1000"/>
      </w:tblGrid>
      <w:tr>
        <w:trPr>
          <w:tblHeader/>
        </w:trPr>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Assunto</w:t>
            </w:r>
          </w:p>
        </w:tc>
        <w:tc>
          <w:tcPr>
            <w:tcW w:type="dxa" w:w="67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Ação</w:t>
            </w:r>
          </w:p>
        </w:tc>
        <w:tc>
          <w:tcPr>
            <w:tcW w:type="dxa" w:w="1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Achado</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Restaurar controles que a sugestão retira</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Voltar com a consulta ao CEIS, ao CNEP e ao cadastro estadual de sancionados antes da adjudicação.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5</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Fazer a manifestação da SUPADM antes da homologação.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Deixar expressa a autorização do Diretor-Presidente para emitir o empenho.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13</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Incluir fases e passos que faltam</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Incluir a fase recursal depois da habilitação e antes da adjudicação.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7</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Incluir a negociação com o primeiro colocado, depois da aceitação da proposta e antes da habilitação.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Incluir a convocação formal do vencedor, com prazo de 5 dias úteis, e a reverificação da habilitação na assinatura.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14 e 15</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Incluir a publicação da íntegra do contrato no site da CENTRAL em até 30 dias.</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16</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Incluir a autorização da Diretoria Executiva nos contratos de valor igual ou superior ao da concorrência.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17</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Atribuir ao gestor do contrato a fiscalização do Programa de Integridade e ao ordenador a aplicação da multa.</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18</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Corrigir competências e termos</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Passar o registro no TCE/SIGFIS e os lançamentos no SIAFE-Rio para a GERLIC.</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Trocar "Agente de contratação" por "Pregoeiro ou Comissão de Licitação".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Trocar "habilitação dos licitantes" por "habilitação do licitante classificado em primeiro lugar".</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4</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Corrigir a revogação por "erro" para "revogação ou anulação, conforme o caso", com prazo de contraditório.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DDI e grau de risco</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Definir critérios objetivos de obrigatoriedade da DDI, aprovados pela Diretoria Executiva ou pelo Conselho de Administração.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10</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Retirar do fluxo as etapas que dependem de grau de risco. Até lá, o Relatório de DDI traz achados e medidas, sem grau.</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19</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Contratar a ferramenta de classificação de risco.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19</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Programa de Integridade</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Exigir a declaração do art. 10 da Lei 7.753 e informar o prazo de 180 dias e a multa do art. 6º. Não exigir a comprovação antes da contratação.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9</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Citar a Lei 7.753, deixar explícito que valor e prazo são cumulativos e orientar a conversão pela UFIR-RJ do ano da contratação.</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Atualização do RILC</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Recomendar à SUPADM a atualização do RILC (arts. 101, 105 e 187).</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11</w:t>
            </w:r>
          </w:p>
        </w:tc>
      </w:tr>
      <w:tr>
        <w:trPr>
          <w:cantSplit/>
        </w:trPr>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Novo RILC</w:t>
            </w:r>
          </w:p>
        </w:tc>
        <w:tc>
          <w:tcPr>
            <w:tcW w:type="dxa" w:w="67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Levar à ASSJUR a exigência de Programa de Integridade para assinar (Minuta, art. 252, III).</w:t>
            </w:r>
          </w:p>
        </w:tc>
        <w:tc>
          <w:tcPr>
            <w:tcW w:type="dxa" w:w="1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Seção 5</w:t>
            </w:r>
          </w:p>
        </w:tc>
      </w:tr>
    </w:tbl>
    <w:p>
      <w:pPr>
        <w:pStyle w:val="Heading1"/>
        <w:spacing w:after="120" w:before="280"/>
      </w:pPr>
      <w:r>
        <w:rPr>
          <w:rFonts w:ascii="Arial" w:cs="Arial" w:eastAsia="Arial" w:hAnsi="Arial"/>
          <w:b/>
          <w:bCs/>
          <w:color w:val="1F3864"/>
          <w:sz w:val="26"/>
          <w:szCs w:val="26"/>
        </w:rPr>
        <w:t xml:space="preserve">3. COMPARAÇÃO ENTRE O POP VIGENTE E A SUGESTÃO DA SUPADM</w:t>
      </w:r>
    </w:p>
    <w:p>
      <w:pPr>
        <w:spacing w:after="100" w:before="0"/>
      </w:pPr>
      <w:r>
        <w:rPr>
          <w:rFonts w:ascii="Arial" w:cs="Arial" w:eastAsia="Arial" w:hAnsi="Arial"/>
          <w:sz w:val="20"/>
          <w:szCs w:val="20"/>
        </w:rPr>
        <w:t xml:space="preserve">Objetivo: Comparar a redação vigente do Procedimento Padrão de Contratação por Pregão/Licitação (fase posterior à preparatória) com a sugestão de alteração apresentada pela SUPADM, identificando o que saiu, o que saiu em parte e o que foi incluído.</w:t>
      </w:r>
    </w:p>
    <w:p>
      <w:pPr>
        <w:spacing w:after="100" w:before="0"/>
      </w:pPr>
      <w:r>
        <w:rPr>
          <w:rFonts w:ascii="Arial" w:cs="Arial" w:eastAsia="Arial" w:hAnsi="Arial"/>
          <w:sz w:val="20"/>
          <w:szCs w:val="20"/>
        </w:rPr>
        <w:t xml:space="preserve">Critério: Comparação ação por ação entre as duas versões, com base na redação literal de cada etapa. Cada ação do POP vigente foi classificada como (i) excluída por completo, (ii) excluída em parte ou deslocada, ou (iii) mantida. Também foram levantadas as ações novas e as inconsistências internas da sugestão. Diferenças apenas de redação, sem efeito no procedimento, não foram consideradas.</w:t>
      </w:r>
    </w:p>
    <w:p>
      <w:pPr>
        <w:pStyle w:val="Heading2"/>
        <w:spacing w:after="100" w:before="200"/>
      </w:pPr>
      <w:r>
        <w:rPr>
          <w:rFonts w:ascii="Arial" w:cs="Arial" w:eastAsia="Arial" w:hAnsi="Arial"/>
          <w:b/>
          <w:bCs/>
          <w:color w:val="1F3864"/>
          <w:sz w:val="22"/>
          <w:szCs w:val="22"/>
        </w:rPr>
        <w:t xml:space="preserve">3.1 Ações do POP vigente que saíram por completo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3500"/>
        <w:gridCol w:w="2000"/>
        <w:gridCol w:w="3638"/>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3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Ação (redação vigente)</w:t>
            </w:r>
          </w:p>
        </w:tc>
        <w:tc>
          <w:tcPr>
            <w:tcW w:type="dxa" w:w="2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Onde estava</w:t>
            </w:r>
          </w:p>
        </w:tc>
        <w:tc>
          <w:tcPr>
            <w:tcW w:type="dxa" w:w="36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Situação na sugestão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"Verificar se o contratado não está relacionado na lista de empresas vedadas nos sistemas SIGA, CNEP e CEIS"</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 – Controles necessários (Comissão de Licitação/Pregão)</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Excluída. Não aparece em nenhuma etapa.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"Contratações classificadas como de possível alto grau de risco de integridade, assim definidos pelo ato formal da Diretoria Executiva ou do Conselho de Administração" (hipótese de DDI obrigatória)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B.5 (SUPADM)</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Excluída. Não há critério de risco para mandar à DDI.</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"Caso identificar impedimentos para contratação, sugerir ao Diretor Presidente a revogação do certame"</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B.7 (SUPADM)</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Excluída. A revogação que ficou (etapa 3g) é do Pregoeiro, por "erro", sem ligação com a DDI.</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"Preparar o Contrato ou Instrumento Contratual"</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B.10 (SUPADM/GERLIC)</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Excluída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5</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 os requisitos necessários para emissão da Nota de Autorização de Despesa – NAD, detalhando no despacho: Tipo do Empenho; Número do Empenho Original; Número e nome do Contratado; Domicílio Bancário; Origem do Material; Valor em R$; Descrição da Despesa; Cronograma de Desembolso; Tipo de Licitação; Data da Licitação; Referência Legal; Local de Entrega; Data de Entrega; Contratação SIGA"</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B.13 (DIRAF)</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Excluída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"Verificar os dados necessários para emissão da NAD"</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B.14 (GERORT/DIRPLA)</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Excluída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7</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"Elaborar a minuta de Despacho de autorização da nota de autorização de despesa – NAD conforme ANEXO II"</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B.15 (CHEGAB)</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Excluída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"Assinar a minuta de despacho elaborada pela CHEGAB ANEXO II"</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B.15 (PRESI)</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Excluída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9</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"Autorizar a emissão da Nota de Empenho – NAD no SIGA e encaminhar o p.p a DIRPLA/GERORT"</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B.15 (PRESI)</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Excluída. Na etapa 11, a PRESI só "autoriza a NAD" e aprova a contratação no SIGA.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10</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"Remeter o processo ao setor de Compras para registro"</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B.16 (GERORT/DIRPLA)</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Excluída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11</w:t>
            </w:r>
          </w:p>
        </w:tc>
        <w:tc>
          <w:tcPr>
            <w:tcW w:type="dxa" w:w="3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Coluna "PRAZO (Estimado)": 1 a 2 dias (B.1), 02 a 08 dias (B.6), 1 dia útil (B.11)</w:t>
            </w:r>
          </w:p>
        </w:tc>
        <w:tc>
          <w:tcPr>
            <w:tcW w:type="dxa" w:w="2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Todas as etapas</w:t>
            </w:r>
          </w:p>
        </w:tc>
        <w:tc>
          <w:tcPr>
            <w:tcW w:type="dxa" w:w="36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Excluída. A sugestão não estabelece prazos para as etapas.</w:t>
            </w:r>
          </w:p>
        </w:tc>
      </w:tr>
    </w:tbl>
    <w:p>
      <w:pPr>
        <w:pStyle w:val="Heading2"/>
        <w:spacing w:after="100" w:before="200"/>
      </w:pPr>
      <w:r>
        <w:rPr>
          <w:rFonts w:ascii="Arial" w:cs="Arial" w:eastAsia="Arial" w:hAnsi="Arial"/>
          <w:b/>
          <w:bCs/>
          <w:color w:val="1F3864"/>
          <w:sz w:val="22"/>
          <w:szCs w:val="22"/>
        </w:rPr>
        <w:t xml:space="preserve">3.2 Ações que saíram em parte ou perderam conteúdo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100"/>
        <w:gridCol w:w="3000"/>
        <w:gridCol w:w="3138"/>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19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Ação (redação vigente)</w:t>
            </w:r>
          </w:p>
        </w:tc>
        <w:tc>
          <w:tcPr>
            <w:tcW w:type="dxa" w:w="1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Etapa</w:t>
            </w:r>
          </w:p>
        </w:tc>
        <w:tc>
          <w:tcPr>
            <w:tcW w:type="dxa" w:w="3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 que saiu</w:t>
            </w:r>
          </w:p>
        </w:tc>
        <w:tc>
          <w:tcPr>
            <w:tcW w:type="dxa" w:w="31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Como ficou na sugestão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"Após análise, solicitar a aprovação do Planejamento no Sistema SIGA pela SUPADM"</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aprovação do Planejamento nesta fase, pela SUPADM</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Passou para depois da contratação da vencedora (nota do item A.6). Na etapa 1d ficou a "aprovação do processo no SIGA" pelo Diretor-Presidente.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"Adjudica o objeto ao vencedor e encaminha o processo a SUPADM/GERLIC para análise final e prosseguimento"</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B.4 (Comissão/Pregoeiro)</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adjudicação pela Comissão ou pelo Pregoeiro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Presidente "homologa e adjudica" (etapa 7).</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"Contratações com valor acima do limite definido na Política de Alçada, Política de Contratações, ou documento similar" (hipótese de DDI obrigatória)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B.5 (SUPADM)</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critério de valor por alçada para tornar a DDI obrigatória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Trocado por valor em UFIR (455.387,23 / 197.334,47) e prazo ≥ 180 dias, mas para exigir Programa de Integridade. A DDI ficou "caso necessário" (etapa 4).</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"Encaminhar a PRESI via DIRAF para homologação do certame"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B.7 (SUPADM)</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passagem pela DIRAF</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"Enviar processo ao Diretor Presidente para homologação" direto, sem a DIRAF (etapa 6c).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5</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"Analisar os autos e após a aprovação expressa, encaminhar processo à CHEGAB/Presidência para homologação do certame"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B.8 (DIRAF)</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análise e a aprovação expressa da DIRAF antes da homologação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mesma ação passou para depois da homologação, antes da assinatura do contrato: "Analisar os autos e emitir aprovação expressa… encaminhar processo à CHEGAB/Presidência para assinatura de Contrato" (etapa 13).</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"Assinar Portaria de designação de gestor e fiscal do contrato e determina a publicação do Aviso de Licitação (caso aplicável) no DOERJ"</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B.11 (PRESI)</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ordem de publicar o Aviso de Licitação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Ficou só "determinar a publicação no DOERJ" da Portaria (etapa 14a).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7</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"Aprova a Contratação no SIGA"</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B.13 (DIRAF)</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aprovação pela DIRAF</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Passou para a PRESI (etapa 11).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w:t>
            </w:r>
          </w:p>
        </w:tc>
        <w:tc>
          <w:tcPr>
            <w:tcW w:type="dxa" w:w="19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"Emitir a Nota de Empenho – NE"</w:t>
            </w:r>
          </w:p>
        </w:tc>
        <w:tc>
          <w:tcPr>
            <w:tcW w:type="dxa" w:w="1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B.16 (GERORT/DIRPLA)</w:t>
            </w:r>
          </w:p>
        </w:tc>
        <w:tc>
          <w:tcPr>
            <w:tcW w:type="dxa" w:w="3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etapa própria de emissão do empenho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Só é citada de passagem: "SUPLAN emitir a NAD/Empenho no SIGA/RJ" (9b) e "incluindo-se a Nota de Empenho" (12a).</w:t>
            </w:r>
          </w:p>
        </w:tc>
      </w:tr>
    </w:tbl>
    <w:p>
      <w:pPr>
        <w:pStyle w:val="Heading2"/>
        <w:spacing w:after="100" w:before="200"/>
      </w:pPr>
      <w:r>
        <w:rPr>
          <w:rFonts w:ascii="Arial" w:cs="Arial" w:eastAsia="Arial" w:hAnsi="Arial"/>
          <w:b/>
          <w:bCs/>
          <w:color w:val="1F3864"/>
          <w:sz w:val="22"/>
          <w:szCs w:val="22"/>
        </w:rPr>
        <w:t xml:space="preserve">3.3 Ações incluídas na sugestão que não constam no POP vigente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6000"/>
        <w:gridCol w:w="3138"/>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60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Ação incluída</w:t>
            </w:r>
          </w:p>
        </w:tc>
        <w:tc>
          <w:tcPr>
            <w:tcW w:type="dxa" w:w="31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Onde está na sugestão</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"Justificando as alterações na Declaração de Conformidade, de cada instrumento, para manifestação e emissão de Parecer"</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 alínea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Condição para devolver à ASSJUR: "Ocorre quando não é dado Parecer"</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 alínea 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"Após a aprovação no SIGA, dar-se-á a criação do Edital e licitação no SIGA" (a Comissão ou o Pregoeiro cria o Edital no SIGA)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 alínea d;  | Etapa 2, alínea 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"Em paralelo haverá a assinatura do EDITAL"</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 alínea 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5</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"Agente de contratação" incluído como responsável, ao lado do Pregoeiro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3, coluna Responsável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Submeter a proposta também à "área Técnica", além da área demandante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3, alínea 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7</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Na habilitação: "Tratando inclusive, quanto a LGPD"</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3, alínea 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"Envio ao RH para verificar se existe impedimento relacionado ao art. 10 do RILC da CENTRAL"</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3, alínea f</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9</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"Encaminhar sugestão ao Diretor-Presidente para revogação do certame, caso sejam identificados algum erro" (pelo Pregoeiro)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3, alínea g</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10</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"Verificar o valor e as condições do contrato e caso necessário, encaminhar o processo à SUPADM para o envio do Formulário de Avaliação do Programa de Integridade ao fornecedor, conforme o Procedimento Padrão para Avaliação do Programa de Integridade do Fornecedor"</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4, alínea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11</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Quando é obrigatório ter Programa de Integridade: valor acima de 455.387,23 UFIR (obras e serviços de engenharia) ou de 197.334,47 UFIR (compras e serviços), e prazo igual ou superior a 180 dias</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4, alínea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12</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"Abrir um novo processo SEI" para avaliar o Programa de Integridade do fornecedor</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4, observação da alínea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13</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Enviar à ASSGER também o processo de Avaliação do Programa de Integridade, quando houver</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4, alínea 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14</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DDI será feita mesmo que o fornecedor não envie o Formulário e os documentos</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4, observação da alínea b</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15</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Inserir o resultado da Avaliação do Programa de Integridade no processo SEI próprio e citá-lo no Relatório de DDI</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16</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Elaborar o "Relatório de Avaliação do Programa de Integridade", quando aplicável</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5</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17</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"Verificar o grau de risco atribuído ao fornecedor" e o Relatório de Avaliação do Programa de Integridade</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6, alínea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18</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"Comunicar o fornecedor, caso seja identificada a inexistência de Programa de Integridade, para que realize a adequação dentro do prazo estabelecido"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8, alínea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19</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"Verificar a juntada da Publicação da Homologação"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9, alínea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20</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SUPADM envia o processo à SUPLAN para emitir a NAD/Empenho no SIGA/RJ (a SUPLAN entra como responsável)</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9, alínea b; Etapa 10, coluna Responsável</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21</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"Em paralelo com a ação da GERADM, a SUPADM inicia a contratação no SIAFE/RIO"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9, alínea c</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22</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Alteração na fase A: "o processo retorna ao Ordenador de Despesa para aprovação da Nota de Reserva"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Nota da A.6 (Análise Orçamentária)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23</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Alteração na fase A: o Planejamento no SIGA "só é realizado após o lançamento da contratação da empresa vencedora e o valor correto da contratação", seguido de parecer da ASSJUR "caso seja solicitado"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Nota da A.6 (Análise Orçamentária)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24</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Emitir a NAD "e faz o planejamento"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10, alínea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25</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 CHEGAB "faz a verificação da instrução processual" antes de pedir à PRESI a autorização da NAD</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11, alínea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26</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Complementar o termo de contrato "incluindo-se a Nota de Empenho"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12, alínea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27</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“Encaminhar o processo à DIRAF e para os Gestores dos SIGFIS, para lançamento no TCE, com posterior envio a CHEGAB para apreciação e consolidação dos atos"</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14, PRESI, alínea 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28</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Encaminhar ao Gestor do Contrato "para início da execução e complementação e/ou lançamento no SIGA, caso necessário"</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14, PRESI, alínea e</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29</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Emitir a Ordem de Serviço "quando couber" (antes era obrigatória)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15, alínea 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30</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"Gestor contrato completa os dados no SIAFERIO e no SIGA"</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15, alínea d</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31</w:t>
            </w:r>
          </w:p>
        </w:tc>
        <w:tc>
          <w:tcPr>
            <w:tcW w:type="dxa" w:w="60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Encaminhar à SUPADM, "para preenchimento do Contrato no TCE-RJ, e posterior envio a CHEGAB para apreciação e consolidação dos atos"</w:t>
            </w:r>
          </w:p>
        </w:tc>
        <w:tc>
          <w:tcPr>
            <w:tcW w:type="dxa" w:w="31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15, alínea e</w:t>
            </w:r>
          </w:p>
        </w:tc>
      </w:tr>
    </w:tbl>
    <w:p>
      <w:pPr>
        <w:pStyle w:val="Heading2"/>
        <w:spacing w:after="100" w:before="200"/>
      </w:pPr>
      <w:r>
        <w:rPr>
          <w:rFonts w:ascii="Arial" w:cs="Arial" w:eastAsia="Arial" w:hAnsi="Arial"/>
          <w:b/>
          <w:bCs/>
          <w:color w:val="1F3864"/>
          <w:sz w:val="22"/>
          <w:szCs w:val="22"/>
        </w:rPr>
        <w:t xml:space="preserve">3.4 Inconsistências de redação da sugestão</w:t>
      </w:r>
    </w:p>
    <w:p>
      <w:pPr>
        <w:spacing w:after="100" w:before="0"/>
      </w:pPr>
      <w:r>
        <w:rPr>
          <w:rFonts w:ascii="Arial" w:cs="Arial" w:eastAsia="Arial" w:hAnsi="Arial"/>
          <w:i/>
          <w:iCs/>
          <w:sz w:val="18"/>
          <w:szCs w:val="18"/>
        </w:rPr>
        <w:t xml:space="preserve">Pontos de redação que a SUPADM deve corrigir. Os que decorrem de norma estão nos achados da seção 4.</w:t>
      </w:r>
    </w:p>
    <w:p>
      <w:pPr>
        <w:pStyle w:val="ListParagraph"/>
        <w:numPr>
          <w:ilvl w:val="0"/>
          <w:numId w:val="2"/>
        </w:numPr>
        <w:spacing w:after="60"/>
      </w:pPr>
      <w:r>
        <w:rPr>
          <w:rFonts w:ascii="Arial" w:cs="Arial" w:eastAsia="Arial" w:hAnsi="Arial"/>
          <w:sz w:val="20"/>
          <w:szCs w:val="20"/>
        </w:rPr>
        <w:t xml:space="preserve">Etapa 8, alínea b – momento da manifestação da SUPADM: a manifestação expressa está na etapa 8, alínea b, mas a própria redação condiciona sua emissão a ocorrer "após o homologação e coleta de assinatura da Contratada". A coleta de assinatura do fornecedor só está prevista adiante, na etapa 12, alínea b. A redação deve esclarecer se a manifestação ocorre na etapa 8 (antes da assinatura) ou depois da etapa 12.</w:t>
      </w:r>
    </w:p>
    <w:p>
      <w:pPr>
        <w:pStyle w:val="ListParagraph"/>
        <w:numPr>
          <w:ilvl w:val="0"/>
          <w:numId w:val="2"/>
        </w:numPr>
        <w:spacing w:after="60"/>
      </w:pPr>
      <w:r>
        <w:rPr>
          <w:rFonts w:ascii="Arial" w:cs="Arial" w:eastAsia="Arial" w:hAnsi="Arial"/>
          <w:sz w:val="20"/>
          <w:szCs w:val="20"/>
        </w:rPr>
        <w:t xml:space="preserve">Etapas 1 e 2 – duplicidade de ações: a etapa 1 já prevê, nas alíneas d e e, o envio ao Diretor-Presidente para aprovação e início do procedimento, a criação do Edital no SIGA, a assinatura do Edital e a publicação do Aviso no DOERJ e no site ("Em paralelo haverá a assinatura do EDITAL (SEI) e a publicação do Aviso, no DOERJ"; "Assinado o Edital é efetivada a publicação do certame, por meio de Aviso, no DOERJ e, no site da CENTRAL"). A etapa 2 repete a aprovação do início (alínea a), a publicação do Aviso (alínea b) e a criação do Edital no SIGA (alínea c). Recomenda-se manter cada ação em uma única etapa.</w:t>
      </w:r>
    </w:p>
    <w:p>
      <w:pPr>
        <w:pStyle w:val="ListParagraph"/>
        <w:numPr>
          <w:ilvl w:val="0"/>
          <w:numId w:val="2"/>
        </w:numPr>
        <w:spacing w:after="60"/>
      </w:pPr>
      <w:r>
        <w:rPr>
          <w:rFonts w:ascii="Arial" w:cs="Arial" w:eastAsia="Arial" w:hAnsi="Arial"/>
          <w:sz w:val="20"/>
          <w:szCs w:val="20"/>
        </w:rPr>
        <w:t xml:space="preserve">Etapas 9, 10 e 11 – contratação no SIGA, NAD e empenho: no POP vigente (B.12 a B.16) a sequência é criar a contratação no SIGA, aprová-la (DIRAF), emitir a NAD, autorizar o empenho (Presidência) e emitir a Nota de Empenho. Na sugestão, a NAD é emitida na etapa 10, antes de a Presidência aprovar a contratação no SIGA (etapa 11), e a etapa 11 manda a DIRPLA/GERORT emitir uma NAD que já foi emitida. A emissão da NAD/Empenho consta como da SUPLAN (etapa 9b) e da DIRPLA/GERORT (etapa 11), e a Nota de Empenho não tem etapa própria. Recomenda-se ordenar a sequência (criar a contratação no SIGA, aprovação da Presidência, emitir a NAD, autorizar o empenho, emitir a Nota de Empenho) e indicar um único responsável pela emissão.</w:t>
      </w:r>
    </w:p>
    <w:p>
      <w:pPr>
        <w:pStyle w:val="ListParagraph"/>
        <w:numPr>
          <w:ilvl w:val="0"/>
          <w:numId w:val="2"/>
        </w:numPr>
        <w:spacing w:after="60"/>
      </w:pPr>
      <w:r>
        <w:rPr>
          <w:rFonts w:ascii="Arial" w:cs="Arial" w:eastAsia="Arial" w:hAnsi="Arial"/>
          <w:sz w:val="20"/>
          <w:szCs w:val="20"/>
        </w:rPr>
        <w:t xml:space="preserve">Etapa 4 – obrigatoriedade da DDI: a alínea a condiciona o envio a "caso necessário"; a observação da alínea b afirma que a DDI "será realizado independente…"; e a etapa 8 diz "quando aplicável". Não fica claro se a DDI se aplica a todas as contratações. Os critérios em UFIR e o prazo de 180 dias referem-se ao Programa de Integridade, e não à DDI, e não indicam a norma de origem.</w:t>
      </w:r>
    </w:p>
    <w:p>
      <w:pPr>
        <w:pStyle w:val="ListParagraph"/>
        <w:numPr>
          <w:ilvl w:val="0"/>
          <w:numId w:val="2"/>
        </w:numPr>
        <w:spacing w:after="60"/>
      </w:pPr>
      <w:r>
        <w:rPr>
          <w:rFonts w:ascii="Arial" w:cs="Arial" w:eastAsia="Arial" w:hAnsi="Arial"/>
          <w:sz w:val="20"/>
          <w:szCs w:val="20"/>
        </w:rPr>
        <w:t xml:space="preserve">Etapas 9 e 12 – títulos repetidos: as duas etapas têm praticamente o mesmo título ("Análise final e envio do processo a SUPADM"). Na etapa 9, a própria SUPADM consta como responsável, ou seja, envia o processo a si mesma.</w:t>
      </w:r>
    </w:p>
    <w:p>
      <w:pPr>
        <w:pStyle w:val="ListParagraph"/>
        <w:numPr>
          <w:ilvl w:val="0"/>
          <w:numId w:val="2"/>
        </w:numPr>
        <w:spacing w:after="60"/>
      </w:pPr>
      <w:r>
        <w:rPr>
          <w:rFonts w:ascii="Arial" w:cs="Arial" w:eastAsia="Arial" w:hAnsi="Arial"/>
          <w:sz w:val="20"/>
          <w:szCs w:val="20"/>
        </w:rPr>
        <w:t xml:space="preserve">Nota da A.6 – alteração da fase preparatória: a sugestão altera a fase A (instrução inicial), que não integra este POP. A mudança precisa ser refletida no POP da fase preparatória.</w:t>
      </w:r>
    </w:p>
    <w:p>
      <w:pPr>
        <w:pStyle w:val="ListParagraph"/>
        <w:numPr>
          <w:ilvl w:val="0"/>
          <w:numId w:val="2"/>
        </w:numPr>
        <w:spacing w:after="60"/>
      </w:pPr>
      <w:r>
        <w:rPr>
          <w:rFonts w:ascii="Arial" w:cs="Arial" w:eastAsia="Arial" w:hAnsi="Arial"/>
          <w:sz w:val="20"/>
          <w:szCs w:val="20"/>
        </w:rPr>
        <w:t xml:space="preserve">Etapa 3, alínea g – revogação: a revogação "caso sejam identificados algum erro" é vaga: não define o tipo de erro nem quem o avalia. Além disso, a revogação deixou de estar vinculada ao resultado da DDI.</w:t>
      </w:r>
    </w:p>
    <w:p>
      <w:pPr>
        <w:pStyle w:val="ListParagraph"/>
        <w:numPr>
          <w:ilvl w:val="0"/>
          <w:numId w:val="2"/>
        </w:numPr>
        <w:spacing w:after="60"/>
      </w:pPr>
      <w:r>
        <w:rPr>
          <w:rFonts w:ascii="Arial" w:cs="Arial" w:eastAsia="Arial" w:hAnsi="Arial"/>
          <w:sz w:val="20"/>
          <w:szCs w:val="20"/>
        </w:rPr>
        <w:t xml:space="preserve">Etapa 6 – responsabilidade compartilhada: o responsável consta como "Pregoeiro/SUPADM", sem definir o que cabe a cada um.</w:t>
      </w:r>
    </w:p>
    <w:p>
      <w:pPr>
        <w:pStyle w:val="ListParagraph"/>
        <w:numPr>
          <w:ilvl w:val="0"/>
          <w:numId w:val="2"/>
        </w:numPr>
        <w:spacing w:after="60"/>
      </w:pPr>
      <w:r>
        <w:rPr>
          <w:rFonts w:ascii="Arial" w:cs="Arial" w:eastAsia="Arial" w:hAnsi="Arial"/>
          <w:sz w:val="20"/>
          <w:szCs w:val="20"/>
        </w:rPr>
        <w:t xml:space="preserve">Etapa 3 – escopo do título: "Execução do pregão eletrônico do procedimento licitatório" restringe a etapa ao pregão, embora o POP também abranja licitação.</w:t>
      </w:r>
    </w:p>
    <w:p>
      <w:pPr>
        <w:pStyle w:val="Heading1"/>
        <w:spacing w:after="120" w:before="280"/>
      </w:pPr>
      <w:r>
        <w:rPr>
          <w:rFonts w:ascii="Arial" w:cs="Arial" w:eastAsia="Arial" w:hAnsi="Arial"/>
          <w:b/>
          <w:bCs/>
          <w:color w:val="1F3864"/>
          <w:sz w:val="26"/>
          <w:szCs w:val="26"/>
        </w:rPr>
        <w:t xml:space="preserve">4. DETALHAMENTO DOS ACHADOS</w:t>
      </w:r>
    </w:p>
    <w:p>
      <w:pPr>
        <w:spacing w:after="100" w:before="0"/>
      </w:pPr>
      <w:r>
        <w:rPr>
          <w:rFonts w:ascii="Arial" w:cs="Arial" w:eastAsia="Arial" w:hAnsi="Arial"/>
          <w:i/>
          <w:iCs/>
          <w:sz w:val="18"/>
          <w:szCs w:val="18"/>
        </w:rPr>
        <w:t xml:space="preserve">"Origem" indica se a sugestão introduz ou agrava o problema, ou se ele já existia no POP vigente e foi mantido. O achado 19 foi incluído pela ASSGER a partir da etapa 6 da sugestão.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01. REGISTRO NO TCE E NO SIAFE-RIO: RESPONSÁVEIS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Regimento Interno, art. 30, II e XI</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etapas 2c, 14d e 15d.</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O registro no TCE/SIGFIS foi dado ao Pregoeiro (2c) e à DIRAF/Gestores do SIGFIS (14d), e o lançamento no SIAFE-Rio, ao Gestor do contrato (15d). Pelo Regimento, essas ações são da GERLIC.</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COMPETÊNCIA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atribui a unidades sem competência ações que o Regimento dá à GERLIC, o que dilui a responsabilidade. Probabilidade Média: a atribuição está escrita nas etapas 2c, 14d e 15d.</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Passar essas ações para a GERLIC.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02. AGENTE DE CONTRATAÇÃO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vigente, art. 25</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3 (Responsável).</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"Agente de contratação" é uma figura da Lei 14.133. O RILC só prevê Comissão de Licitação ou Pregoeiro.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LEGALIDADE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figura que o RILC vigente não prevê pode ser questionada na condução do certame. Probabilidade Média: a figura consta na coluna de responsáveis da etapa 3.</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Trocar por "Pregoeiro ou Comissão de Licitação". A Minuta do RILC (art. 200, I) passa a prever a figura; o ajuste só é necessário enquanto o RILC vigente estiver em vigor.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03. NEGOCIAÇÃO COM O PRIMEIRO COLOCADO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13.303, art. 57; RILC, art. 83</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3.</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Não há a fase de negociação com o primeiro colocado.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Alta / Criticidade Alto</w:t>
            </w:r>
          </w:p>
          <w:p>
            <w:pPr>
              <w:spacing w:after="40"/>
            </w:pPr>
            <w:r>
              <w:rPr>
                <w:rFonts w:ascii="Arial" w:cs="Arial" w:eastAsia="Arial" w:hAnsi="Arial"/>
                <w:b w:val="false"/>
                <w:bCs w:val="false"/>
                <w:sz w:val="18"/>
                <w:szCs w:val="18"/>
              </w:rPr>
              <w:t xml:space="preserve">Impacto Médio: sem negociação, perde-se condição mais vantajosa, sem invalidar o ato. Probabilidade Alta: a fase não existe no POP vigente nem na sugestão, e a omissão se repete em todo certame.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Incluir a negociação depois da aceitação da proposta e antes da habilitação. No julgamento, observar também os arts. 75 a 83 do RILC (desempate, preferência de ME e EPP e confirmação da primeira colocação).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04. HABILITAÇÃO DO LICITANTE CLASSIFICADO EM PRIMEIRO LUGAR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art. 86</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3e.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O texto fala em "habilitação dos licitantes", mas só se habilita o primeiro colocado.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bCs/>
                <w:sz w:val="18"/>
                <w:szCs w:val="18"/>
              </w:rPr>
              <w:t xml:space="preserve">CONFORME COM RESSALVA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E2EFDA"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Baixo / Probabilidade Média / Criticidade Baixo</w:t>
            </w:r>
          </w:p>
          <w:p>
            <w:pPr>
              <w:spacing w:after="40"/>
            </w:pPr>
            <w:r>
              <w:rPr>
                <w:rFonts w:ascii="Arial" w:cs="Arial" w:eastAsia="Arial" w:hAnsi="Arial"/>
                <w:b w:val="false"/>
                <w:bCs w:val="false"/>
                <w:sz w:val="18"/>
                <w:szCs w:val="18"/>
              </w:rPr>
              <w:t xml:space="preserve">Impacto Baixo: imprecisão de texto, sem alterar o procedimento do RILC. Probabilidade Média: o texto pode levar a habilitar todos os licitantes.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Trocar por "habilitação do licitante classificado em primeiro lugar".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05. CONSULTA AO CEIS E AO CNEP E VERIFICAÇÃO DO ART. 10 DO RILC</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art. 10; Lei 13.303, arts. 37 e 38</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3f.</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consulta ao CEIS e ao CNEP foi retirada. A verificação do art. 10 do RILC fica só com o RH, e a sugestão não prevê a consulta às listas de sanção (incisos II a VIII).</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4B6B6"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CONFORMIDADE CRÍTICA / CRITÉRIO LEGALIDADE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Alto / Probabilidade Média / Criticidade Alto</w:t>
            </w:r>
          </w:p>
          <w:p>
            <w:pPr>
              <w:spacing w:after="40"/>
            </w:pPr>
            <w:r>
              <w:rPr>
                <w:rFonts w:ascii="Arial" w:cs="Arial" w:eastAsia="Arial" w:hAnsi="Arial"/>
                <w:b w:val="false"/>
                <w:bCs w:val="false"/>
                <w:sz w:val="18"/>
                <w:szCs w:val="18"/>
              </w:rPr>
              <w:t xml:space="preserve">Impacto Alto: adjudicar a empresa sancionada contraria os arts. 37 e 38 da Lei 13.303 e pode anular o ato. Probabilidade Média: o RH só verifica vínculo e parentesco, não as sanções.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Voltar com a consulta ao CEIS, ao CNEP e ao cadastro estadual de sancionados antes da adjudicação.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06. REVOGAÇÃO OU ANULAÇÃO DO CERTAME E CONTRADITÓRIO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art. 106 e §3º; Lei 13.303, art. 62 e §3º</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3g.</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Propõe revogar o certame por "erro". Erro ou ilegalidade leva à anulação; revogação é para interesse público por fato superveniente. Também falta o contraditório.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LEGALIDADE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Alto / Probabilidade Média / Criticidade Alto</w:t>
            </w:r>
          </w:p>
          <w:p>
            <w:pPr>
              <w:spacing w:after="40"/>
            </w:pPr>
            <w:r>
              <w:rPr>
                <w:rFonts w:ascii="Arial" w:cs="Arial" w:eastAsia="Arial" w:hAnsi="Arial"/>
                <w:b w:val="false"/>
                <w:bCs w:val="false"/>
                <w:sz w:val="18"/>
                <w:szCs w:val="18"/>
              </w:rPr>
              <w:t xml:space="preserve">Impacto Alto: revogar por erro, sem contraditório, pode gerar nulidade do ato e contestação dos licitantes. Probabilidade Média: depende de o Pregoeiro identificar erro no certame.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Corrigir para "revogação ou anulação, conforme o caso" e abrir prazo de contraditório aos licitantes.</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07. FASE RECURSAL</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13.303, art. 59; RILC, arts. 100 a 102</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entre as etapas 3 e 7.</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Não há fase recursal (intenção de recorrer, razões, contrarrazões e decisão).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4B6B6"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CONFORMIDADE CRÍTICA / CRITÉRIO LEGALIDADE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4B6B6"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Alto / Probabilidade Alta / Criticidade Crítico</w:t>
            </w:r>
          </w:p>
          <w:p>
            <w:pPr>
              <w:spacing w:after="40"/>
            </w:pPr>
            <w:r>
              <w:rPr>
                <w:rFonts w:ascii="Arial" w:cs="Arial" w:eastAsia="Arial" w:hAnsi="Arial"/>
                <w:b w:val="false"/>
                <w:bCs w:val="false"/>
                <w:sz w:val="18"/>
                <w:szCs w:val="18"/>
              </w:rPr>
              <w:t xml:space="preserve">Impacto Alto: a falta da fase recursal obrigatória pode anular o certame e gerar apontamento de órgãos de controle. Probabilidade Alta: a fase não existe no POP vigente nem na sugestão, e a omissão se repete em todo certame.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Incluir a fase recursal depois da habilitação e antes da adjudicação.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08. VALORES E CONDIÇÕES DO PROGRAMA DE INTEGRIDADE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7.753, art. 1º e §4º</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4a.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Os valores em UFIR estão corretos, mas a etapa não cita a lei de origem e não deixa claro que valor e prazo são condições cumulativas.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bCs/>
                <w:sz w:val="18"/>
                <w:szCs w:val="18"/>
              </w:rPr>
              <w:t xml:space="preserve">CONFORME COM RESSALVA / CRITÉRIO RASTREABILIDADE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E2EFDA"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Baixo / Probabilidade Média / Criticidade Baixo</w:t>
            </w:r>
          </w:p>
          <w:p>
            <w:pPr>
              <w:spacing w:after="40"/>
            </w:pPr>
            <w:r>
              <w:rPr>
                <w:rFonts w:ascii="Arial" w:cs="Arial" w:eastAsia="Arial" w:hAnsi="Arial"/>
                <w:b w:val="false"/>
                <w:bCs w:val="false"/>
                <w:sz w:val="18"/>
                <w:szCs w:val="18"/>
              </w:rPr>
              <w:t xml:space="preserve">Impacto Baixo: os valores estão corretos, e a falha é só de remissão e clareza. Probabilidade Média: a etapa pode ser lida como se valor e prazo fossem alternativos.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Citar a lei. Deixar explícito que as duas condições são cumulativas. Orientar a conversão pela UFIR-RJ do ano da contratação.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09. COMPROVAÇÃO DO PROGRAMA DE INTEGRIDADE ANTES DA CONTRATAÇÃO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7.753, arts. 5º, 6º e 10</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etapas 4a e 8a.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Exige que o fornecedor comprove a existência do Programa de Integridade antes de contratar. A lei dá 180 dias depois da assinatura para implantar e, no ato da contratação, só pede uma declaração de quem já tem o Programa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LEGALIDADE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exigir o programa antes da contratação vai além da Lei 7.753 e pode barrar fornecedor sem base legal. Probabilidade Média: as etapas 4a e 8a pedem a comprovação.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Exigir a declaração do art. 10 e, se o fornecedor não tiver o Programa, informar o prazo de 180 dias contados da assinatura e a multa do art. 6º.</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10. CRITÉRIO DE OBRIGATORIEDADE DA DDI</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13.303, art. 32, V; Regimento, art. 18, VIII e XV</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etapas 4 e 5.</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DDI não tem critério objetivo de obrigatoriedade ("caso necessário", "independente…", "quando aplicável").</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sem critério, a DDI pode deixar de ser feita ou ser feita de forma desigual. Probabilidade Média: a sugestão usa "caso necessário", "independente" e "quando aplicável" e retirou os critérios do POP vigente.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Definir critérios objetivos de obrigatoriedade, aprovados pela Diretoria Executiva ou pelo Conselho de Administração, ou adotar a regra do art. 9º da Minuta do RILC, que submete todos os interessados à diligência.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11. ADJUDICAÇÃO E HOMOLOGAÇÃO NO RILC</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arts. 101, 105 e 187; Regimento, art. 29, IX</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7.</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Sugestão está conforme o art. 105 do RILC, mas o próprio RILC se contradiz: o art. 101, §1º prevê adjudicação na sessão. O RILC ainda cita a Lei 10.520, que já foi revogada.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bCs/>
                <w:sz w:val="18"/>
                <w:szCs w:val="18"/>
              </w:rPr>
              <w:t xml:space="preserve">CONFORME COM RESSALVA / CRITÉRIO ATUALIZAÇÃO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E2EFDA"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Baixo / Probabilidade Média / Criticidade Baixo</w:t>
            </w:r>
          </w:p>
          <w:p>
            <w:pPr>
              <w:spacing w:after="40"/>
            </w:pPr>
            <w:r>
              <w:rPr>
                <w:rFonts w:ascii="Arial" w:cs="Arial" w:eastAsia="Arial" w:hAnsi="Arial"/>
                <w:b w:val="false"/>
                <w:bCs w:val="false"/>
                <w:sz w:val="18"/>
                <w:szCs w:val="18"/>
              </w:rPr>
              <w:t xml:space="preserve">Impacto Baixo: a sugestão segue o art. 105 do RILC, e a contradição está no próprio RILC. Probabilidade Média: o RILC ainda cita a Lei 10.520, já revogada.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Recomendar à SUPADM a atualização do RILC.</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12. MOMENTO DA MANIFESTAÇÃO DA SUPADM</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13.303, art. 60; RILC, art. 105, §1º</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8b.</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manifestação de regularidade da SUPADM vem depois da homologação, que já dá ao vencedor o direito de contratar.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a homologação já dá ao vencedor o direito de contratar, e verificar depois reduz o efeito do controle. Probabilidade Média: a ordem está escrita na etapa 8b.</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Fazer a manifestação antes da homologação.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13. AUTORIZAÇÃO EXPRESSA PARA EMISSÃO DO EMPENHO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Estatuto, art. 35, XVII</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11.</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Nota de Empenho é emitida sem um ato explícito do ordenador de despesas.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bCs/>
                <w:sz w:val="18"/>
                <w:szCs w:val="18"/>
              </w:rPr>
              <w:t xml:space="preserve">CONFORME COM RESSALVA / CRITÉRIO COMPETÊNCIA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E2EFDA"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Baixa / Criticidade Baixo</w:t>
            </w:r>
          </w:p>
          <w:p>
            <w:pPr>
              <w:spacing w:after="40"/>
            </w:pPr>
            <w:r>
              <w:rPr>
                <w:rFonts w:ascii="Arial" w:cs="Arial" w:eastAsia="Arial" w:hAnsi="Arial"/>
                <w:b w:val="false"/>
                <w:bCs w:val="false"/>
                <w:sz w:val="18"/>
                <w:szCs w:val="18"/>
              </w:rPr>
              <w:t xml:space="preserve">Impacto Médio: despesa empenhada sem ato explícito do ordenador. Probabilidade Baixa: a PRESI autoriza a NAD e aprova a contratação no SIGA, o que cobre parte do ato.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Deixar expressa a autorização do Diretor-Presidente para emitir o empenho.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14. CONVOCAÇÃO DO VENCEDOR PARA ASSINAR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art. 136</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12.</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Não prevê a convocação formal do vencedor para assinar em até 5 dias úteis.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sem convocação formal, não corre o prazo de 5 dias úteis nem há decadência. Probabilidade Média: o POP não trata da convocação.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Incluir a convocação com prazo.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15. REVERIFICAÇÃO DA HABILITAÇÃO NA ASSINATURA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art. 136, §4º</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12.</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Não confirma, na assinatura, se o vencedor mantém as condições de habilitação.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o contrato pode ser assinado com habilitação vencida. Probabilidade Média: o POP não prevê a reverificação.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Incluir a reverificação da habilitação antes da assinatura.</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16. PUBLICAÇÃO DA ÍNTEGRA DO CONTRATO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RILC vigente, art. 137</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12c.</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Prevê só o extrato no DOERJ. Falta publicar a íntegra do contrato no site em até 30 dias.</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a íntegra pode deixar de ser publicada no prazo de 30 dias. Probabilidade Média: só se prevê o extrato no DOERJ.</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Incluir a publicação no site da CENTRAL.</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17. AUTORIZAÇÃO DA DIRETORIA EXECUTIVA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Estatuto, art. 34, VI</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etapas 13 e 14.</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Não há autorização da Diretoria Executiva para contratos de valor igual ou superior ao limite da concorrência.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COMPETÊNCIA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Alto / Probabilidade Baixa / Criticidade Médio</w:t>
            </w:r>
          </w:p>
          <w:p>
            <w:pPr>
              <w:spacing w:after="40"/>
            </w:pPr>
            <w:r>
              <w:rPr>
                <w:rFonts w:ascii="Arial" w:cs="Arial" w:eastAsia="Arial" w:hAnsi="Arial"/>
                <w:b w:val="false"/>
                <w:bCs w:val="false"/>
                <w:sz w:val="18"/>
                <w:szCs w:val="18"/>
              </w:rPr>
              <w:t xml:space="preserve">Impacto Alto: contrato sem autorização da Diretoria Executiva contraria o Estatuto. Probabilidade Baixa: atinge só contratos de valor igual ou superior ao da concorrência.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Incluir essa deliberação antes da assinatura, quando couber.</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18. FISCALIZAÇÃO DO PROGRAMA DE INTEGRIDADE PELO GESTOR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Lei 7.753, arts. 11 e 12</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Já existia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 15.</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Não atribui ao Gestor a fiscalização da implantação do Programa de Integridade, nem ao ordenador a aplicação da multa.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a implantação do programa em 180 dias pode não ser acompanhada nem a multa aplicada. Probabilidade Média: a atribuição não consta no POP.</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Incluir essas atribuições na etapa de execução.</w:t>
            </w:r>
          </w:p>
        </w:tc>
      </w:tr>
    </w:tbl>
    <w:p>
      <w:pPr>
        <w:spacing w:after="12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00"/>
        <w:gridCol w:w="7538"/>
      </w:tblGrid>
      <w:tr>
        <w:trPr>
          <w:cantSplit/>
        </w:trPr>
        <w:tc>
          <w:tcPr>
            <w:tcW w:type="dxa" w:w="9638"/>
            <w:gridSpan w:val="2"/>
            <w:tcBorders>
              <w:top w:val="single" w:color="000000" w:sz="4"/>
              <w:left w:val="single" w:color="000000" w:sz="4"/>
              <w:bottom w:val="single" w:color="000000" w:sz="4"/>
              <w:right w:val="single" w:color="000000" w:sz="4"/>
            </w:tcBorders>
            <w:shd w:fill="C6D9F1" w:color="auto" w:val="clear"/>
            <w:tcMar>
              <w:top w:type="dxa" w:w="120"/>
              <w:left w:type="dxa" w:w="135"/>
              <w:bottom w:type="dxa" w:w="120"/>
              <w:right w:type="dxa" w:w="135"/>
            </w:tcMar>
          </w:tcPr>
          <w:p>
            <w:pPr>
              <w:spacing w:after="40"/>
            </w:pPr>
            <w:r>
              <w:rPr>
                <w:rFonts w:ascii="Arial" w:cs="Arial" w:eastAsia="Arial" w:hAnsi="Arial"/>
                <w:b/>
                <w:bCs/>
                <w:sz w:val="18"/>
                <w:szCs w:val="18"/>
              </w:rPr>
              <w:t xml:space="preserve">19. ETAPAS QUE DEPENDEM DE GRAU DE RISCO</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Norma de referência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Sem norma específica. Indiretas: RILC, art. 4º, V; Estatuto, art. 72, VI e VII.</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Origem</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Proposta introduz</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Dispositivo analisado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Sugestão da SUPADM, etapas 6a e 6b.</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Descrição</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A sugestão faz o fluxo depender de um grau de risco: o Pregoeiro e a SUPADM verificam o grau atribuído ao fornecedor (6a) e, se for médio ou alto, avaliam alertar a Diretoria (6b). A ASSGER não dispõe de ferramenta para atribuir grau de risco, então essas etapas não têm como funcionar.</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Classificação / Critério</w:t>
            </w:r>
          </w:p>
        </w:tc>
        <w:tc>
          <w:tcPr>
            <w:tcW w:type="dxa" w:w="7538"/>
            <w:tcBorders>
              <w:top w:val="single" w:color="000000" w:sz="4"/>
              <w:left w:val="single" w:color="000000" w:sz="4"/>
              <w:bottom w:val="single" w:color="000000" w:sz="4"/>
              <w:right w:val="single" w:color="000000" w:sz="4"/>
            </w:tcBorders>
            <w:shd w:fill="F8CBAD" w:color="auto" w:val="clear"/>
            <w:tcMar>
              <w:top w:type="dxa" w:w="90"/>
              <w:left w:type="dxa" w:w="135"/>
              <w:bottom w:type="dxa" w:w="90"/>
              <w:right w:type="dxa" w:w="135"/>
            </w:tcMar>
          </w:tcPr>
          <w:p>
            <w:pPr>
              <w:spacing w:after="40"/>
            </w:pPr>
            <w:r>
              <w:rPr>
                <w:rFonts w:ascii="Arial" w:cs="Arial" w:eastAsia="Arial" w:hAnsi="Arial"/>
                <w:b/>
                <w:bCs/>
                <w:sz w:val="18"/>
                <w:szCs w:val="18"/>
              </w:rPr>
              <w:t xml:space="preserve">NÃO CONFORME / CRITÉRIO COMPLETUDE</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Impacto / Probabilidade / Criticidade</w:t>
            </w:r>
          </w:p>
        </w:tc>
        <w:tc>
          <w:tcPr>
            <w:tcW w:type="dxa" w:w="7538"/>
            <w:tcBorders>
              <w:top w:val="single" w:color="000000" w:sz="4"/>
              <w:left w:val="single" w:color="000000" w:sz="4"/>
              <w:bottom w:val="single" w:color="000000" w:sz="4"/>
              <w:right w:val="single" w:color="000000" w:sz="4"/>
            </w:tcBorders>
            <w:shd w:fill="FFE699"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Impacto Médio / Probabilidade Média / Criticidade Médio</w:t>
            </w:r>
          </w:p>
          <w:p>
            <w:pPr>
              <w:spacing w:after="40"/>
            </w:pPr>
            <w:r>
              <w:rPr>
                <w:rFonts w:ascii="Arial" w:cs="Arial" w:eastAsia="Arial" w:hAnsi="Arial"/>
                <w:b w:val="false"/>
                <w:bCs w:val="false"/>
                <w:sz w:val="18"/>
                <w:szCs w:val="18"/>
              </w:rPr>
              <w:t xml:space="preserve">Impacto Médio: etapas que dependem de grau que a ASSGER não consegue atribuir não têm como funcionar. Probabilidade Média: a sugestão ainda não está aprovada.</w:t>
            </w:r>
          </w:p>
        </w:tc>
      </w:tr>
      <w:tr>
        <w:trPr>
          <w:cantSplit/>
        </w:trPr>
        <w:tc>
          <w:tcPr>
            <w:tcW w:type="dxa" w:w="2100"/>
            <w:tcBorders>
              <w:top w:val="single" w:color="000000" w:sz="4"/>
              <w:left w:val="single" w:color="000000" w:sz="4"/>
              <w:bottom w:val="single" w:color="000000" w:sz="4"/>
              <w:right w:val="single" w:color="000000" w:sz="4"/>
            </w:tcBorders>
            <w:shd w:fill="F5F3EE" w:color="auto" w:val="clear"/>
            <w:tcMar>
              <w:top w:type="dxa" w:w="90"/>
              <w:left w:type="dxa" w:w="135"/>
              <w:bottom w:type="dxa" w:w="90"/>
              <w:right w:type="dxa" w:w="135"/>
            </w:tcMar>
          </w:tcPr>
          <w:p>
            <w:pPr>
              <w:spacing w:after="40"/>
            </w:pPr>
            <w:r>
              <w:rPr>
                <w:rFonts w:ascii="Arial" w:cs="Arial" w:eastAsia="Arial" w:hAnsi="Arial"/>
                <w:b/>
                <w:bCs/>
                <w:sz w:val="18"/>
                <w:szCs w:val="18"/>
              </w:rPr>
              <w:t xml:space="preserve">Ação recomendada</w:t>
            </w:r>
          </w:p>
        </w:tc>
        <w:tc>
          <w:tcPr>
            <w:tcW w:type="dxa" w:w="7538"/>
            <w:tcBorders>
              <w:top w:val="single" w:color="000000" w:sz="4"/>
              <w:left w:val="single" w:color="000000" w:sz="4"/>
              <w:bottom w:val="single" w:color="000000" w:sz="4"/>
              <w:right w:val="single" w:color="000000" w:sz="4"/>
            </w:tcBorders>
            <w:shd w:fill="FFFFFF" w:color="auto" w:val="clear"/>
            <w:tcMar>
              <w:top w:type="dxa" w:w="90"/>
              <w:left w:type="dxa" w:w="135"/>
              <w:bottom w:type="dxa" w:w="90"/>
              <w:right w:type="dxa" w:w="135"/>
            </w:tcMar>
          </w:tcPr>
          <w:p>
            <w:pPr>
              <w:spacing w:after="40"/>
            </w:pPr>
            <w:r>
              <w:rPr>
                <w:rFonts w:ascii="Arial" w:cs="Arial" w:eastAsia="Arial" w:hAnsi="Arial"/>
                <w:b w:val="false"/>
                <w:bCs w:val="false"/>
                <w:sz w:val="18"/>
                <w:szCs w:val="18"/>
              </w:rPr>
              <w:t xml:space="preserve">Retirar essas etapas do fluxo até haver ferramenta e critério definidos. Até lá, o Relatório de DDI traz os achados e as medidas a adotar, sem classificar o grau. Contratar a ferramenta de classificação. Quando existir, tornar obrigatória a comunicação à Diretoria e registrar nos autos o aceite do risco e as medidas de mitigação.</w:t>
            </w:r>
          </w:p>
        </w:tc>
      </w:tr>
    </w:tbl>
    <w:p>
      <w:pPr>
        <w:spacing w:after="120"/>
      </w:pPr>
    </w:p>
    <w:p>
      <w:pPr>
        <w:pStyle w:val="Heading1"/>
        <w:spacing w:after="120" w:before="280"/>
      </w:pPr>
      <w:r>
        <w:rPr>
          <w:rFonts w:ascii="Arial" w:cs="Arial" w:eastAsia="Arial" w:hAnsi="Arial"/>
          <w:b/>
          <w:bCs/>
          <w:color w:val="1F3864"/>
          <w:sz w:val="26"/>
          <w:szCs w:val="26"/>
        </w:rPr>
        <w:t xml:space="preserve">5. ATENÇÃO: NOVO RILC (MINUTA AINDA NÃO APROVADA)</w:t>
      </w:r>
    </w:p>
    <w:p>
      <w:pPr>
        <w:spacing w:after="100" w:before="0"/>
      </w:pPr>
      <w:r>
        <w:rPr>
          <w:rFonts w:ascii="Arial" w:cs="Arial" w:eastAsia="Arial" w:hAnsi="Arial"/>
          <w:sz w:val="20"/>
          <w:szCs w:val="20"/>
        </w:rPr>
        <w:t xml:space="preserve">Esta seção não aponta não conformidade, porque a Minuta não está em vigor. Registra pontos que exigirão nova revisão do POP quando o novo RILC for aprovado. A Minuta está em análise na ASSJUR (SEI 105673081).</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1500"/>
        <w:gridCol w:w="5100"/>
        <w:gridCol w:w="2538"/>
      </w:tblGrid>
      <w:tr>
        <w:trPr>
          <w:tblHeader/>
        </w:trPr>
        <w:tc>
          <w:tcPr>
            <w:tcW w:type="dxa" w:w="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w:t>
            </w:r>
          </w:p>
        </w:tc>
        <w:tc>
          <w:tcPr>
            <w:tcW w:type="dxa" w:w="15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Etapa do POP</w:t>
            </w:r>
          </w:p>
        </w:tc>
        <w:tc>
          <w:tcPr>
            <w:tcW w:type="dxa" w:w="5100"/>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O que a Minuta prevê e o impacto no POP</w:t>
            </w:r>
          </w:p>
        </w:tc>
        <w:tc>
          <w:tcPr>
            <w:tcW w:type="dxa" w:w="2538"/>
            <w:tcBorders>
              <w:top w:val="single" w:color="A6A6A6" w:sz="4"/>
              <w:left w:val="single" w:color="A6A6A6" w:sz="4"/>
              <w:bottom w:val="single" w:color="A6A6A6" w:sz="4"/>
              <w:right w:val="single" w:color="A6A6A6" w:sz="4"/>
            </w:tcBorders>
            <w:shd w:fill="D9E2F3" w:color="auto" w:val="clear"/>
            <w:tcMar>
              <w:top w:type="dxa" w:w="60"/>
              <w:left w:type="dxa" w:w="90"/>
              <w:bottom w:type="dxa" w:w="60"/>
              <w:right w:type="dxa" w:w="90"/>
            </w:tcMar>
          </w:tcPr>
          <w:p>
            <w:pPr>
              <w:spacing w:after="40"/>
            </w:pPr>
            <w:r>
              <w:rPr>
                <w:rFonts w:ascii="Arial" w:cs="Arial" w:eastAsia="Arial" w:hAnsi="Arial"/>
                <w:b/>
                <w:bCs/>
                <w:color w:val="1F3864"/>
                <w:sz w:val="18"/>
                <w:szCs w:val="18"/>
              </w:rPr>
              <w:t xml:space="preserve">Base da Minuta</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Etapas 1e e 2b</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POP publica o Edital só no DOERJ e no site. Falta disponibilizar no SIGA-RJ e no SEI-RJ.</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 138</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3</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POP não prevê a fase de negociação com o primeiro colocado.</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Arts. 85, II, "d", e 177</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3</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3e</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POP fala em habilitação "dos licitantes". Só se analisa a habilitação do primeiro colocado.</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 179</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4</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3f</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POP só pede ao RH que verifique os impedimentos. Ninguém verifica se a empresa ou seus sócios estão suspensos, impedidos ou declarados inidôneos.</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 16, II a VIII</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5</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3g</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POP fala em "revogação" por "erro", quando erro é caso de anulação. Também não dá aos licitantes o prazo de 3 dias úteis para se manifestarem.</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Arts. 197 e 198</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6</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Entre as etapas 3 e 7</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POP não prevê a fase de recursos.</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Arts. 85, II, "f", e 188 a 191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7</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4a</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POP diz que a DDI será feita "caso necessário". Pela Minuta, ela é obrigatória para todos.</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 9º</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8</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Etapas 4a e 8a</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POP só exige o Programa de Integridade acima de certos valores e prazos e dá prazo ao fornecedor para se adequar depois. A Minuta exige a comprovação como condição para assinar o contrato, o que diverge da Lei 7.753 (arts. 5º e 10). Ver a nota abaixo.</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 252, III</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9</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6b</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Para risco alto, o POP só manda "alertar os Diretores". Pela Minuta, risco alto impede a contratação. A regra pressupõe um grau de risco que a ASSGER não consegue atribuir hoje (achado 19): sem ferramenta e critério definidos, não há como aplicá-la.</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 9º, §1º</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10</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12</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POP não prevê a convocação do vencedor para assinar o contrato em até 5 dias úteis.</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 251</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11</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12</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POP não verifica, antes da assinatura: habilitação em dia, garantia, cota de aprendiz e cota de PCD.</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Arts. 251, §4º, e 252</w:t>
            </w:r>
          </w:p>
        </w:tc>
      </w:tr>
      <w:tr>
        <w:trPr>
          <w:cantSplit/>
        </w:trPr>
        <w:tc>
          <w:tcPr>
            <w:tcW w:type="dxa" w:w="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12</w:t>
            </w:r>
          </w:p>
        </w:tc>
        <w:tc>
          <w:tcPr>
            <w:tcW w:type="dxa" w:w="15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Etapa 12c</w:t>
            </w:r>
          </w:p>
        </w:tc>
        <w:tc>
          <w:tcPr>
            <w:tcW w:type="dxa" w:w="5100"/>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O POP só publica o extrato do contrato no DOERJ. Falta publicar a íntegra no site em até 30 dias.</w:t>
            </w:r>
          </w:p>
        </w:tc>
        <w:tc>
          <w:tcPr>
            <w:tcW w:type="dxa" w:w="2538"/>
            <w:tcBorders>
              <w:top w:val="single" w:color="A6A6A6" w:sz="4"/>
              <w:left w:val="single" w:color="A6A6A6" w:sz="4"/>
              <w:bottom w:val="single" w:color="A6A6A6" w:sz="4"/>
              <w:right w:val="single" w:color="A6A6A6" w:sz="4"/>
            </w:tcBorders>
            <w:tcMar>
              <w:top w:type="dxa" w:w="60"/>
              <w:left w:type="dxa" w:w="90"/>
              <w:bottom w:type="dxa" w:w="60"/>
              <w:right w:type="dxa" w:w="90"/>
            </w:tcMar>
          </w:tcPr>
          <w:p>
            <w:pPr>
              <w:spacing w:after="40"/>
            </w:pPr>
            <w:r>
              <w:rPr>
                <w:rFonts w:ascii="Arial" w:cs="Arial" w:eastAsia="Arial" w:hAnsi="Arial"/>
                <w:sz w:val="18"/>
                <w:szCs w:val="18"/>
              </w:rPr>
              <w:t xml:space="preserve">Art. 254</w:t>
            </w:r>
          </w:p>
        </w:tc>
      </w:tr>
    </w:tbl>
    <w:p>
      <w:pPr>
        <w:spacing w:after="100" w:before="120"/>
      </w:pPr>
      <w:r>
        <w:rPr>
          <w:rFonts w:ascii="Arial" w:cs="Arial" w:eastAsia="Arial" w:hAnsi="Arial"/>
          <w:sz w:val="20"/>
          <w:szCs w:val="20"/>
        </w:rPr>
        <w:t xml:space="preserve">Nota: O art. 252, III da Minuta, ao exigir a comprovação do Programa de Integridade como condição para a formalização do contrato, diverge dos arts. 5º e 10 da Lei Estadual nº 7.753/2017, que concedem 180 dias após a assinatura para a implantação e exigem, no ato da contratação, apenas declaração de quem já possui o Programa. Se mantida, a exigência contraria a lei e deve ser levada à ASSJUR durante a análise da Minuta.</w:t>
      </w:r>
    </w:p>
    <w:p>
      <w:pPr>
        <w:pStyle w:val="Heading1"/>
        <w:spacing w:after="120" w:before="280"/>
      </w:pPr>
      <w:r>
        <w:rPr>
          <w:rFonts w:ascii="Arial" w:cs="Arial" w:eastAsia="Arial" w:hAnsi="Arial"/>
          <w:b/>
          <w:bCs/>
          <w:color w:val="1F3864"/>
          <w:sz w:val="26"/>
          <w:szCs w:val="26"/>
        </w:rPr>
        <w:t xml:space="preserve">6. POSICIONAMENTO DA ASSGER</w:t>
      </w:r>
    </w:p>
    <w:p>
      <w:pPr>
        <w:spacing w:after="100" w:before="0"/>
      </w:pPr>
      <w:r>
        <w:rPr>
          <w:rFonts w:ascii="Arial" w:cs="Arial" w:eastAsia="Arial" w:hAnsi="Arial"/>
          <w:sz w:val="20"/>
          <w:szCs w:val="20"/>
        </w:rPr>
        <w:t xml:space="preserve">A ASSGER recomenda que a sugestão não seja aprovada na forma atual e que seja devolvida à SUPADM para ajustes. A sugestão avança ao reforçar a etapa de integridade e ao emitir o empenho antes da assinatura do contrato. No entanto, retira controles relevantes (consulta ao CEIS e ao CNEP, checklist da NAD e autorização formal do empenho), não prevê fases obrigatórias (negociação e recursos) e apresenta não conformidades com o RILC vigente e a Lei 7.753/2017.</w:t>
      </w:r>
    </w:p>
    <w:p>
      <w:pPr>
        <w:spacing w:after="100" w:before="0"/>
      </w:pPr>
      <w:r>
        <w:rPr>
          <w:rFonts w:ascii="Arial" w:cs="Arial" w:eastAsia="Arial" w:hAnsi="Arial"/>
          <w:sz w:val="20"/>
          <w:szCs w:val="20"/>
        </w:rPr>
        <w:t xml:space="preserve">Há 19 achados: dez que a sugestão introduz ou agrava e nove que o POP vigente já não atendia e que a sugestão mantém. Dois são Não Conformidade Crítica, treze são Não Conforme e quatro são Conforme com Ressalva. Recomenda-se corrigir todos na mesma revisão. Os demais pontos foram testados e não apresentam divergência com as normas vigentes.</w:t>
      </w:r>
    </w:p>
    <w:p>
      <w:pPr>
        <w:spacing w:after="100" w:before="0"/>
      </w:pPr>
      <w:r>
        <w:rPr>
          <w:rFonts w:ascii="Arial" w:cs="Arial" w:eastAsia="Arial" w:hAnsi="Arial"/>
          <w:b/>
          <w:bCs/>
          <w:sz w:val="20"/>
          <w:szCs w:val="20"/>
        </w:rPr>
        <w:t xml:space="preserve">Os quatro achados de criticidade Crítica ou Alta são: </w:t>
      </w:r>
      <w:r>
        <w:rPr>
          <w:rFonts w:ascii="Arial" w:cs="Arial" w:eastAsia="Arial" w:hAnsi="Arial"/>
          <w:sz w:val="20"/>
          <w:szCs w:val="20"/>
        </w:rPr>
        <w:t xml:space="preserve">fase recursal (achado 7, Crítico); consulta ao CEIS e ao CNEP (achado 5); revogação ou anulação sem contraditório (achado 6); negociação com o primeiro colocado (achado 3).</w:t>
      </w:r>
    </w:p>
    <w:p>
      <w:pPr>
        <w:spacing w:after="100" w:before="0"/>
      </w:pPr>
      <w:r>
        <w:rPr>
          <w:rFonts w:ascii="Arial" w:cs="Arial" w:eastAsia="Arial" w:hAnsi="Arial"/>
          <w:sz w:val="20"/>
          <w:szCs w:val="20"/>
        </w:rPr>
        <w:t xml:space="preserve">Recomenda-se ainda encaminhar à ASSJUR a divergência entre o art. 252, III da Minuta do RILC e a Lei 7.753/2017.</w:t>
      </w:r>
    </w:p>
    <w:p>
      <w:pPr>
        <w:spacing w:after="100" w:before="0"/>
      </w:pPr>
      <w:r>
        <w:rPr>
          <w:rFonts w:ascii="Arial" w:cs="Arial" w:eastAsia="Arial" w:hAnsi="Arial"/>
          <w:i/>
          <w:iCs/>
          <w:sz w:val="18"/>
          <w:szCs w:val="18"/>
        </w:rPr>
        <w:t xml:space="preserve">Criticidade: Crítica ou Alta = corrigir antes de aprovar. Média = corrigir nesta revisão. Baixa = recomendável.</w:t>
      </w:r>
    </w:p>
    <w:p>
      <w:pPr>
        <w:spacing w:after="100" w:before="240"/>
      </w:pPr>
      <w:r>
        <w:rPr>
          <w:rFonts w:ascii="Arial" w:cs="Arial" w:eastAsia="Arial" w:hAnsi="Arial"/>
          <w:sz w:val="20"/>
          <w:szCs w:val="20"/>
        </w:rPr>
        <w:t xml:space="preserve">ASSGER, [data]</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7F7F7F"/>
        <w:sz w:val="16"/>
        <w:szCs w:val="16"/>
      </w:rPr>
      <w:t xml:space="preserve">Página </w:t>
    </w:r>
    <w:r>
      <w:rPr>
        <w:rFonts w:ascii="Arial" w:cs="Arial" w:eastAsia="Arial" w:hAnsi="Arial"/>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80"/>
      <w:outlineLvl w:val="0"/>
    </w:pPr>
    <w:rPr>
      <w:rFonts w:ascii="Arial" w:cs="Arial" w:eastAsia="Arial" w:hAnsi="Arial"/>
      <w:b/>
      <w:bCs/>
      <w:sz w:val="26"/>
      <w:szCs w:val="26"/>
    </w:rPr>
  </w:style>
  <w:style w:type="paragraph" w:styleId="Heading2">
    <w:name w:val="Heading 2"/>
    <w:basedOn w:val="Normal"/>
    <w:next w:val="Normal"/>
    <w:qFormat/>
    <w:pPr>
      <w:spacing w:after="100" w:before="20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Nota Técnica — Posicionamento da ASSGER sobre a proposta de revisão do POP de Contratação por Pregão/Licitação</dc:title>
  <dc:creator>ASSGER</dc:creator>
  <cp:lastModifiedBy>Un-named</cp:lastModifiedBy>
  <cp:revision>1</cp:revision>
  <dcterms:created xsi:type="dcterms:W3CDTF">2026-10-22T19:51:32.653Z</dcterms:created>
  <dcterms:modified xsi:type="dcterms:W3CDTF">2026-10-22T19:51:32.654Z</dcterms:modified>
</cp:coreProperties>
</file>

<file path=docProps/custom.xml><?xml version="1.0" encoding="utf-8"?>
<Properties xmlns="http://schemas.openxmlformats.org/officeDocument/2006/custom-properties" xmlns:vt="http://schemas.openxmlformats.org/officeDocument/2006/docPropsVTypes"/>
</file>