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A PRESIDENTE DA COMISSÃO</w:t>
      </w:r>
    </w:p>
    <w:p>
      <w:r>
        <w:rPr>
          <w:i/>
          <w:color w:val="0000FF"/>
          <w:sz w:val="19"/>
        </w:rPr>
        <w:t>Em azul: trechos a verificar ou alterar, numerados conforme o quadro ao final. As observações também estão nos comentários do Word.</w:t>
      </w:r>
    </w:p>
    <w:p>
      <w:pPr>
        <w:spacing w:after="200"/>
        <w:jc w:val="both"/>
      </w:pPr>
      <w:r>
        <w:rPr>
          <w:i w:val="0"/>
        </w:rPr>
        <w:t xml:space="preserve">Luciana tinha chegado à presidência da Comissão em 2018, por meio de </w:t>
      </w:r>
      <w:commentRangeStart w:id="0"/>
      <w:r>
        <w:rPr>
          <w:i w:val="0"/>
          <w:color w:val="0000FF"/>
        </w:rPr>
        <w:t>uma nomeação de uma Comissão Especial para seleções com recursos internacionais</w:t>
      </w:r>
      <w:commentRangeEnd w:id="0"/>
      <w:r>
        <w:rPr>
          <w:rStyle w:val="CommentReference"/>
        </w:rPr>
        <w:commentReference w:id="0"/>
      </w:r>
      <w:r>
        <w:rPr>
          <w:color w:val="0000FF"/>
          <w:sz w:val="16"/>
          <w:vertAlign w:val="superscript"/>
        </w:rPr>
        <w:t xml:space="preserve"> [1]</w:t>
      </w:r>
      <w:r>
        <w:rPr>
          <w:i w:val="0"/>
        </w:rPr>
        <w:t xml:space="preserve">. </w:t>
      </w:r>
      <w:commentRangeStart w:id="1"/>
      <w:r>
        <w:rPr>
          <w:i w:val="0"/>
          <w:color w:val="0000FF"/>
        </w:rPr>
        <w:t>A comissão de licitações do órgão, responsável por outros certames, disse que não faria licitações com regras próprias do organismo internacional.</w:t>
      </w:r>
      <w:commentRangeEnd w:id="1"/>
      <w:r>
        <w:rPr>
          <w:rStyle w:val="CommentReference"/>
        </w:rPr>
        <w:commentReference w:id="1"/>
      </w:r>
      <w:r>
        <w:rPr>
          <w:color w:val="0000FF"/>
          <w:sz w:val="16"/>
          <w:vertAlign w:val="superscript"/>
        </w:rPr>
        <w:t xml:space="preserve"> [2]</w:t>
      </w:r>
      <w:r>
        <w:rPr>
          <w:i w:val="0"/>
        </w:rPr>
        <w:t xml:space="preserve"> </w:t>
      </w:r>
      <w:commentRangeStart w:id="2"/>
      <w:r>
        <w:rPr>
          <w:i w:val="0"/>
          <w:color w:val="0000FF"/>
        </w:rPr>
        <w:t>A presidente da nova comissão não tinha nenhuma experiência prévia em licitações. Não era tributarista nem contadora.</w:t>
      </w:r>
      <w:commentRangeEnd w:id="2"/>
      <w:r>
        <w:rPr>
          <w:rStyle w:val="CommentReference"/>
        </w:rPr>
        <w:commentReference w:id="2"/>
      </w:r>
      <w:r>
        <w:rPr>
          <w:color w:val="0000FF"/>
          <w:sz w:val="16"/>
          <w:vertAlign w:val="superscript"/>
        </w:rPr>
        <w:t xml:space="preserve"> [3]</w:t>
      </w:r>
      <w:r>
        <w:rPr>
          <w:i w:val="0"/>
        </w:rPr>
        <w:t xml:space="preserve"> </w:t>
      </w:r>
      <w:commentRangeStart w:id="3"/>
      <w:r>
        <w:rPr>
          <w:i w:val="0"/>
          <w:color w:val="0000FF"/>
        </w:rPr>
        <w:t>Sua chegada ao cargo tinha se dado por um pedido do chefe de gabinete diante da negação da outra área para que os projetos não parassem. No momento ele prometeu total apoio e nomeou outros membros com conhecimento prévio em licitações.</w:t>
      </w:r>
      <w:commentRangeEnd w:id="3"/>
      <w:r>
        <w:rPr>
          <w:rStyle w:val="CommentReference"/>
        </w:rPr>
        <w:commentReference w:id="3"/>
      </w:r>
      <w:r>
        <w:rPr>
          <w:color w:val="0000FF"/>
          <w:sz w:val="16"/>
          <w:vertAlign w:val="superscript"/>
        </w:rPr>
        <w:t xml:space="preserve"> [4]</w:t>
      </w:r>
    </w:p>
    <w:p>
      <w:pPr>
        <w:spacing w:after="200"/>
        <w:jc w:val="both"/>
      </w:pPr>
      <w:r>
        <w:rPr>
          <w:i w:val="0"/>
        </w:rPr>
        <w:t xml:space="preserve">O que a prendia àquele processo era menos o contrato e mais o que viria depois dele. Para ela, o Estado tinha a oportunidade de mudar seu histórico de inúmeros eventos que se repetiam quando as chuvas paralisavam a cidade e impactavam milhares de vidas. </w:t>
      </w:r>
      <w:commentRangeStart w:id="4"/>
      <w:r>
        <w:rPr>
          <w:i w:val="0"/>
          <w:color w:val="0000FF"/>
        </w:rPr>
        <w:t>Atrasar a contratação significava desperdiçar a oportunidade de ter recursos disponíveis</w:t>
      </w:r>
      <w:commentRangeEnd w:id="4"/>
      <w:r>
        <w:rPr>
          <w:rStyle w:val="CommentReference"/>
        </w:rPr>
        <w:commentReference w:id="4"/>
      </w:r>
      <w:r>
        <w:rPr>
          <w:color w:val="0000FF"/>
          <w:sz w:val="16"/>
          <w:vertAlign w:val="superscript"/>
        </w:rPr>
        <w:t xml:space="preserve"> [5]</w:t>
      </w:r>
      <w:r>
        <w:rPr>
          <w:i w:val="0"/>
        </w:rPr>
        <w:t xml:space="preserve"> para executar algo que há anos deixa a população temerosa diante de caos instalado na região metropolitana em dias de chuva. </w:t>
      </w:r>
      <w:commentRangeStart w:id="5"/>
      <w:r>
        <w:rPr>
          <w:i w:val="0"/>
          <w:color w:val="0000FF"/>
        </w:rPr>
        <w:t>Crianças alagadas nas escolas, ameaças de deslizamento em encostas com interrupção de vias, trilhos alagados com interrupção de trens, carros boiando em bolsões de água, enfim, cenário que se repete ao longo de anos.</w:t>
      </w:r>
      <w:commentRangeEnd w:id="5"/>
      <w:r>
        <w:rPr>
          <w:rStyle w:val="CommentReference"/>
        </w:rPr>
        <w:commentReference w:id="5"/>
      </w:r>
      <w:r>
        <w:rPr>
          <w:color w:val="0000FF"/>
          <w:sz w:val="16"/>
          <w:vertAlign w:val="superscript"/>
        </w:rPr>
        <w:t xml:space="preserve"> [6]</w:t>
      </w:r>
    </w:p>
    <w:p>
      <w:pPr>
        <w:spacing w:after="200"/>
        <w:jc w:val="both"/>
      </w:pPr>
      <w:commentRangeStart w:id="6"/>
      <w:r>
        <w:rPr>
          <w:i w:val="0"/>
          <w:color w:val="0000FF"/>
        </w:rPr>
        <w:t>Colegas a descreviam como metódica e detalhista.</w:t>
      </w:r>
      <w:commentRangeEnd w:id="6"/>
      <w:r>
        <w:rPr>
          <w:rStyle w:val="CommentReference"/>
        </w:rPr>
        <w:commentReference w:id="6"/>
      </w:r>
      <w:r>
        <w:rPr>
          <w:color w:val="0000FF"/>
          <w:sz w:val="16"/>
          <w:vertAlign w:val="superscript"/>
        </w:rPr>
        <w:t xml:space="preserve"> [7]</w:t>
      </w:r>
      <w:r>
        <w:rPr>
          <w:i w:val="0"/>
        </w:rPr>
        <w:t xml:space="preserve"> Documentava cada etapa e insistia em destravar o processo, mesmo sem respaldo técnico definitivo. Cada consulta virava um documento com data, destinatário e uma pergunta escrita de modo a não deixar espaço para resposta vaga. </w:t>
      </w:r>
      <w:commentRangeStart w:id="7"/>
      <w:r>
        <w:rPr>
          <w:i w:val="0"/>
          <w:color w:val="0000FF"/>
        </w:rPr>
        <w:t>Cada resposta ia para o processo administrativo utilizado, o SEI-RJ.</w:t>
      </w:r>
      <w:commentRangeEnd w:id="7"/>
      <w:r>
        <w:rPr>
          <w:rStyle w:val="CommentReference"/>
        </w:rPr>
        <w:commentReference w:id="7"/>
      </w:r>
      <w:r>
        <w:rPr>
          <w:color w:val="0000FF"/>
          <w:sz w:val="16"/>
          <w:vertAlign w:val="superscript"/>
        </w:rPr>
        <w:t xml:space="preserve"> [8]</w:t>
      </w:r>
      <w:r>
        <w:rPr>
          <w:i w:val="0"/>
        </w:rPr>
        <w:t xml:space="preserve"> Ela sabia que, num processo público, a pergunta que alguém faria anos depois seria: com base em que isso foi decidido?</w:t>
      </w:r>
    </w:p>
    <w:p>
      <w:pPr>
        <w:spacing w:after="200"/>
        <w:jc w:val="both"/>
      </w:pPr>
      <w:r>
        <w:rPr>
          <w:i w:val="0"/>
        </w:rPr>
        <w:t xml:space="preserve">A posição dela era desconfortável. Respondia pela licitação, mas não comandava nenhuma das instâncias capazes de resolver qual seria o valor final da contratação que, naquele momento, dependia do valor do imposto. </w:t>
      </w:r>
      <w:commentRangeStart w:id="8"/>
      <w:r>
        <w:rPr>
          <w:i w:val="0"/>
          <w:color w:val="0000FF"/>
        </w:rPr>
        <w:t>Não podia obrigar a área jurídica a firmar posição</w:t>
      </w:r>
      <w:commentRangeEnd w:id="8"/>
      <w:r>
        <w:rPr>
          <w:rStyle w:val="CommentReference"/>
        </w:rPr>
        <w:commentReference w:id="8"/>
      </w:r>
      <w:r>
        <w:rPr>
          <w:color w:val="0000FF"/>
          <w:sz w:val="16"/>
          <w:vertAlign w:val="superscript"/>
        </w:rPr>
        <w:t xml:space="preserve"> [9]</w:t>
      </w:r>
      <w:r>
        <w:rPr>
          <w:i w:val="0"/>
        </w:rPr>
        <w:t xml:space="preserve">, não podia exigir prazo da Fazenda e não tinha como arbitrar uma divergência </w:t>
      </w:r>
      <w:commentRangeStart w:id="9"/>
      <w:r>
        <w:rPr>
          <w:i w:val="0"/>
          <w:color w:val="0000FF"/>
        </w:rPr>
        <w:t>dentro do próprio organismo financiador</w:t>
      </w:r>
      <w:commentRangeEnd w:id="9"/>
      <w:r>
        <w:rPr>
          <w:rStyle w:val="CommentReference"/>
        </w:rPr>
        <w:commentReference w:id="9"/>
      </w:r>
      <w:r>
        <w:rPr>
          <w:color w:val="0000FF"/>
          <w:sz w:val="16"/>
          <w:vertAlign w:val="superscript"/>
        </w:rPr>
        <w:t xml:space="preserve"> [10]</w:t>
      </w:r>
      <w:r>
        <w:rPr>
          <w:i w:val="0"/>
        </w:rPr>
        <w:t>.</w:t>
      </w:r>
    </w:p>
    <w:p>
      <w:pPr>
        <w:spacing w:before="320"/>
      </w:pPr>
      <w:r>
        <w:rPr>
          <w:b/>
        </w:rPr>
        <w:t>Quadro de alterações sugeridas</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fill="D9E2F3"/>
          </w:tcPr>
          <w:p>
            <w:r/>
            <w:r>
              <w:rPr>
                <w:b/>
                <w:sz w:val="20"/>
              </w:rPr>
              <w:t>Nº</w:t>
            </w:r>
          </w:p>
        </w:tc>
        <w:tc>
          <w:tcPr>
            <w:tcW w:type="dxa" w:w="2381"/>
            <w:shd w:val="clear" w:fill="D9E2F3"/>
          </w:tcPr>
          <w:p>
            <w:r/>
            <w:r>
              <w:rPr>
                <w:b/>
                <w:sz w:val="20"/>
              </w:rPr>
              <w:t>Trecho</w:t>
            </w:r>
          </w:p>
        </w:tc>
        <w:tc>
          <w:tcPr>
            <w:tcW w:type="dxa" w:w="2608"/>
            <w:shd w:val="clear" w:fill="D9E2F3"/>
          </w:tcPr>
          <w:p>
            <w:r/>
            <w:r>
              <w:rPr>
                <w:b/>
                <w:sz w:val="20"/>
              </w:rPr>
              <w:t>Problema</w:t>
            </w:r>
          </w:p>
        </w:tc>
        <w:tc>
          <w:tcPr>
            <w:tcW w:type="dxa" w:w="3231"/>
            <w:shd w:val="clear" w:fill="D9E2F3"/>
          </w:tcPr>
          <w:p>
            <w:r/>
            <w:r>
              <w:rPr>
                <w:b/>
                <w:sz w:val="20"/>
              </w:rPr>
              <w:t>Sugestão</w:t>
            </w:r>
          </w:p>
        </w:tc>
      </w:tr>
      <w:tr>
        <w:tc>
          <w:tcPr>
            <w:tcW w:type="dxa" w:w="567"/>
          </w:tcPr>
          <w:p>
            <w:r/>
            <w:r>
              <w:rPr>
                <w:sz w:val="20"/>
              </w:rPr>
              <w:t>1</w:t>
            </w:r>
          </w:p>
        </w:tc>
        <w:tc>
          <w:tcPr>
            <w:tcW w:type="dxa" w:w="2381"/>
          </w:tcPr>
          <w:p>
            <w:r/>
            <w:r>
              <w:rPr>
                <w:sz w:val="20"/>
              </w:rPr>
              <w:t>“nomeação de uma Comissão Especial para seleções com recursos internacionais”</w:t>
            </w:r>
          </w:p>
        </w:tc>
        <w:tc>
          <w:tcPr>
            <w:tcW w:type="dxa" w:w="2608"/>
          </w:tcPr>
          <w:p>
            <w:r/>
            <w:r>
              <w:rPr>
                <w:sz w:val="20"/>
              </w:rPr>
              <w:t>Nome oficial: Comissão Especial de Licitação BIRD. Portaria e data não constam dos arquivos.</w:t>
            </w:r>
          </w:p>
        </w:tc>
        <w:tc>
          <w:tcPr>
            <w:tcW w:type="dxa" w:w="3231"/>
          </w:tcPr>
          <w:p>
            <w:r/>
            <w:r>
              <w:rPr>
                <w:sz w:val="20"/>
              </w:rPr>
              <w:t>“[...] por meio da nomeação para a Comissão Especial de Licitação BIRD.” Conferir a data (2018).</w:t>
            </w:r>
          </w:p>
        </w:tc>
      </w:tr>
      <w:tr>
        <w:tc>
          <w:tcPr>
            <w:tcW w:type="dxa" w:w="567"/>
          </w:tcPr>
          <w:p>
            <w:r/>
            <w:r>
              <w:rPr>
                <w:sz w:val="20"/>
              </w:rPr>
              <w:t>2</w:t>
            </w:r>
          </w:p>
        </w:tc>
        <w:tc>
          <w:tcPr>
            <w:tcW w:type="dxa" w:w="2381"/>
          </w:tcPr>
          <w:p>
            <w:r/>
            <w:r>
              <w:rPr>
                <w:sz w:val="20"/>
              </w:rPr>
              <w:t>“A comissão de licitações do órgão [...] disse que não faria licitações [...]”</w:t>
            </w:r>
          </w:p>
        </w:tc>
        <w:tc>
          <w:tcPr>
            <w:tcW w:type="dxa" w:w="2608"/>
          </w:tcPr>
          <w:p>
            <w:r/>
            <w:r>
              <w:rPr>
                <w:sz w:val="20"/>
              </w:rPr>
              <w:t>Não consta dos documentos.</w:t>
            </w:r>
          </w:p>
        </w:tc>
        <w:tc>
          <w:tcPr>
            <w:tcW w:type="dxa" w:w="3231"/>
          </w:tcPr>
          <w:p>
            <w:r/>
            <w:r>
              <w:rPr>
                <w:sz w:val="20"/>
              </w:rPr>
              <w:t>Atribuir a fonte (“segundo ela”) ou confirmar em ata ou portaria.</w:t>
            </w:r>
          </w:p>
        </w:tc>
      </w:tr>
      <w:tr>
        <w:tc>
          <w:tcPr>
            <w:tcW w:type="dxa" w:w="567"/>
          </w:tcPr>
          <w:p>
            <w:r/>
            <w:r>
              <w:rPr>
                <w:sz w:val="20"/>
              </w:rPr>
              <w:t>3</w:t>
            </w:r>
          </w:p>
        </w:tc>
        <w:tc>
          <w:tcPr>
            <w:tcW w:type="dxa" w:w="2381"/>
          </w:tcPr>
          <w:p>
            <w:r/>
            <w:r>
              <w:rPr>
                <w:sz w:val="20"/>
              </w:rPr>
              <w:t>“não tinha nenhuma experiência prévia [...] Não era tributarista nem contadora.”</w:t>
            </w:r>
          </w:p>
        </w:tc>
        <w:tc>
          <w:tcPr>
            <w:tcW w:type="dxa" w:w="2608"/>
          </w:tcPr>
          <w:p>
            <w:r/>
            <w:r>
              <w:rPr>
                <w:sz w:val="20"/>
              </w:rPr>
              <w:t>Não consta dos documentos.</w:t>
            </w:r>
          </w:p>
        </w:tc>
        <w:tc>
          <w:tcPr>
            <w:tcW w:type="dxa" w:w="3231"/>
          </w:tcPr>
          <w:p>
            <w:r/>
            <w:r>
              <w:rPr>
                <w:sz w:val="20"/>
              </w:rPr>
              <w:t>Manter se for relato pessoal; senão, confirmar na fonte.</w:t>
            </w:r>
          </w:p>
        </w:tc>
      </w:tr>
      <w:tr>
        <w:tc>
          <w:tcPr>
            <w:tcW w:type="dxa" w:w="567"/>
          </w:tcPr>
          <w:p>
            <w:r/>
            <w:r>
              <w:rPr>
                <w:sz w:val="20"/>
              </w:rPr>
              <w:t>4</w:t>
            </w:r>
          </w:p>
        </w:tc>
        <w:tc>
          <w:tcPr>
            <w:tcW w:type="dxa" w:w="2381"/>
          </w:tcPr>
          <w:p>
            <w:r/>
            <w:r>
              <w:rPr>
                <w:sz w:val="20"/>
              </w:rPr>
              <w:t>“pedido do chefe de gabinete [...] nomeou outros membros [...]”</w:t>
            </w:r>
          </w:p>
        </w:tc>
        <w:tc>
          <w:tcPr>
            <w:tcW w:type="dxa" w:w="2608"/>
          </w:tcPr>
          <w:p>
            <w:r/>
            <w:r>
              <w:rPr>
                <w:sz w:val="20"/>
              </w:rPr>
              <w:t>Não consta dos documentos. A Comissão de Avaliação tinha três membros e um saiu em agosto de 2021.</w:t>
            </w:r>
          </w:p>
        </w:tc>
        <w:tc>
          <w:tcPr>
            <w:tcW w:type="dxa" w:w="3231"/>
          </w:tcPr>
          <w:p>
            <w:r/>
            <w:r>
              <w:rPr>
                <w:sz w:val="20"/>
              </w:rPr>
              <w:t>Confirmar quem nomeou, quando e com que experiência.</w:t>
            </w:r>
          </w:p>
        </w:tc>
      </w:tr>
      <w:tr>
        <w:tc>
          <w:tcPr>
            <w:tcW w:type="dxa" w:w="567"/>
          </w:tcPr>
          <w:p>
            <w:r/>
            <w:r>
              <w:rPr>
                <w:sz w:val="20"/>
              </w:rPr>
              <w:t>5</w:t>
            </w:r>
          </w:p>
        </w:tc>
        <w:tc>
          <w:tcPr>
            <w:tcW w:type="dxa" w:w="2381"/>
          </w:tcPr>
          <w:p>
            <w:r/>
            <w:r>
              <w:rPr>
                <w:sz w:val="20"/>
              </w:rPr>
              <w:t>“desperdiçar a oportunidade de ter recursos disponíveis”</w:t>
            </w:r>
          </w:p>
        </w:tc>
        <w:tc>
          <w:tcPr>
            <w:tcW w:type="dxa" w:w="2608"/>
          </w:tcPr>
          <w:p>
            <w:r/>
            <w:r>
              <w:rPr>
                <w:sz w:val="20"/>
              </w:rPr>
              <w:t>Falta o prazo: o acordo vencia em 30/12/2022.</w:t>
            </w:r>
          </w:p>
        </w:tc>
        <w:tc>
          <w:tcPr>
            <w:tcW w:type="dxa" w:w="3231"/>
          </w:tcPr>
          <w:p>
            <w:r/>
            <w:r>
              <w:rPr>
                <w:sz w:val="20"/>
              </w:rPr>
              <w:t>“[...] de ter recursos do acordo de empréstimo, que venciam em dezembro de 2022, para executar [...]”</w:t>
            </w:r>
          </w:p>
        </w:tc>
      </w:tr>
      <w:tr>
        <w:tc>
          <w:tcPr>
            <w:tcW w:type="dxa" w:w="567"/>
          </w:tcPr>
          <w:p>
            <w:r/>
            <w:r>
              <w:rPr>
                <w:sz w:val="20"/>
              </w:rPr>
              <w:t>6</w:t>
            </w:r>
          </w:p>
        </w:tc>
        <w:tc>
          <w:tcPr>
            <w:tcW w:type="dxa" w:w="2381"/>
          </w:tcPr>
          <w:p>
            <w:r/>
            <w:r>
              <w:rPr>
                <w:sz w:val="20"/>
              </w:rPr>
              <w:t>“Crianças alagadas nas escolas [...] carros boiando em bolsões de água [...]”</w:t>
            </w:r>
          </w:p>
        </w:tc>
        <w:tc>
          <w:tcPr>
            <w:tcW w:type="dxa" w:w="2608"/>
          </w:tcPr>
          <w:p>
            <w:r/>
            <w:r>
              <w:rPr>
                <w:sz w:val="20"/>
              </w:rPr>
              <w:t>Imagens não constam do Termo de Referência, que cita enchentes, deslizamentos e trens e metrôs paralisados.</w:t>
            </w:r>
          </w:p>
        </w:tc>
        <w:tc>
          <w:tcPr>
            <w:tcW w:type="dxa" w:w="3231"/>
          </w:tcPr>
          <w:p>
            <w:r/>
            <w:r>
              <w:rPr>
                <w:sz w:val="20"/>
              </w:rPr>
              <w:t>Manter como memória ou ficção, ou ancorar numa fonte (Termo de Referência, imprensa).</w:t>
            </w:r>
          </w:p>
        </w:tc>
      </w:tr>
      <w:tr>
        <w:tc>
          <w:tcPr>
            <w:tcW w:type="dxa" w:w="567"/>
          </w:tcPr>
          <w:p>
            <w:r/>
            <w:r>
              <w:rPr>
                <w:sz w:val="20"/>
              </w:rPr>
              <w:t>7</w:t>
            </w:r>
          </w:p>
        </w:tc>
        <w:tc>
          <w:tcPr>
            <w:tcW w:type="dxa" w:w="2381"/>
          </w:tcPr>
          <w:p>
            <w:r/>
            <w:r>
              <w:rPr>
                <w:sz w:val="20"/>
              </w:rPr>
              <w:t>“Colegas a descreviam como metódica e detalhista.”</w:t>
            </w:r>
          </w:p>
        </w:tc>
        <w:tc>
          <w:tcPr>
            <w:tcW w:type="dxa" w:w="2608"/>
          </w:tcPr>
          <w:p>
            <w:r/>
            <w:r>
              <w:rPr>
                <w:sz w:val="20"/>
              </w:rPr>
              <w:t>Relato de terceiros, sem fonte.</w:t>
            </w:r>
          </w:p>
        </w:tc>
        <w:tc>
          <w:tcPr>
            <w:tcW w:type="dxa" w:w="3231"/>
          </w:tcPr>
          <w:p>
            <w:r/>
            <w:r>
              <w:rPr>
                <w:sz w:val="20"/>
              </w:rPr>
              <w:t>“Era metódica e detalhista.” ou indicar a fonte do relato.</w:t>
            </w:r>
          </w:p>
        </w:tc>
      </w:tr>
      <w:tr>
        <w:tc>
          <w:tcPr>
            <w:tcW w:type="dxa" w:w="567"/>
          </w:tcPr>
          <w:p>
            <w:r/>
            <w:r>
              <w:rPr>
                <w:sz w:val="20"/>
              </w:rPr>
              <w:t>8</w:t>
            </w:r>
          </w:p>
        </w:tc>
        <w:tc>
          <w:tcPr>
            <w:tcW w:type="dxa" w:w="2381"/>
          </w:tcPr>
          <w:p>
            <w:r/>
            <w:r>
              <w:rPr>
                <w:sz w:val="20"/>
              </w:rPr>
              <w:t>“Cada resposta ia para [...] o SEI-RJ.”</w:t>
            </w:r>
          </w:p>
        </w:tc>
        <w:tc>
          <w:tcPr>
            <w:tcW w:type="dxa" w:w="2608"/>
          </w:tcPr>
          <w:p>
            <w:r/>
            <w:r>
              <w:rPr>
                <w:sz w:val="20"/>
              </w:rPr>
              <w:t>As trocas com o Banco e o consórcio foram por e-mail e só aparecem no SEI em 2023. Nos documentos, “SEI/ERJ”.</w:t>
            </w:r>
          </w:p>
        </w:tc>
        <w:tc>
          <w:tcPr>
            <w:tcW w:type="dxa" w:w="3231"/>
          </w:tcPr>
          <w:p>
            <w:r/>
            <w:r>
              <w:rPr>
                <w:sz w:val="20"/>
              </w:rPr>
              <w:t>“Cada consulta virava um documento. As respostas internas iam para o SEI; as do Banco e do consórcio, para os e-mails da Comissão, depois juntados ao processo.”</w:t>
            </w:r>
          </w:p>
        </w:tc>
      </w:tr>
      <w:tr>
        <w:tc>
          <w:tcPr>
            <w:tcW w:type="dxa" w:w="567"/>
          </w:tcPr>
          <w:p>
            <w:r/>
            <w:r>
              <w:rPr>
                <w:sz w:val="20"/>
              </w:rPr>
              <w:t>9</w:t>
            </w:r>
          </w:p>
        </w:tc>
        <w:tc>
          <w:tcPr>
            <w:tcW w:type="dxa" w:w="2381"/>
          </w:tcPr>
          <w:p>
            <w:r/>
            <w:r>
              <w:rPr>
                <w:sz w:val="20"/>
              </w:rPr>
              <w:t>“Não podia obrigar a área jurídica a firmar posição”</w:t>
            </w:r>
          </w:p>
        </w:tc>
        <w:tc>
          <w:tcPr>
            <w:tcW w:type="dxa" w:w="2608"/>
          </w:tcPr>
          <w:p>
            <w:r/>
            <w:r>
              <w:rPr>
                <w:sz w:val="20"/>
              </w:rPr>
              <w:t>Anacronismo: o jurídico só foi consultado em 2022/2023.</w:t>
            </w:r>
          </w:p>
        </w:tc>
        <w:tc>
          <w:tcPr>
            <w:tcW w:type="dxa" w:w="3231"/>
          </w:tcPr>
          <w:p>
            <w:r/>
            <w:r>
              <w:rPr>
                <w:sz w:val="20"/>
              </w:rPr>
              <w:t>“Não podia obrigar a diretoria financeira a firmar posição”</w:t>
            </w:r>
          </w:p>
        </w:tc>
      </w:tr>
      <w:tr>
        <w:tc>
          <w:tcPr>
            <w:tcW w:type="dxa" w:w="567"/>
          </w:tcPr>
          <w:p>
            <w:r/>
            <w:r>
              <w:rPr>
                <w:sz w:val="20"/>
              </w:rPr>
              <w:t>10</w:t>
            </w:r>
          </w:p>
        </w:tc>
        <w:tc>
          <w:tcPr>
            <w:tcW w:type="dxa" w:w="2381"/>
          </w:tcPr>
          <w:p>
            <w:r/>
            <w:r>
              <w:rPr>
                <w:sz w:val="20"/>
              </w:rPr>
              <w:t>“divergência dentro do próprio organismo financiador”</w:t>
            </w:r>
          </w:p>
        </w:tc>
        <w:tc>
          <w:tcPr>
            <w:tcW w:type="dxa" w:w="2608"/>
          </w:tcPr>
          <w:p>
            <w:r/>
            <w:r>
              <w:rPr>
                <w:sz w:val="20"/>
              </w:rPr>
              <w:t>Não há divergência interna documentada no Banco; a documentada é com a consultoria.</w:t>
            </w:r>
          </w:p>
        </w:tc>
        <w:tc>
          <w:tcPr>
            <w:tcW w:type="dxa" w:w="3231"/>
          </w:tcPr>
          <w:p>
            <w:r/>
            <w:r>
              <w:rPr>
                <w:sz w:val="20"/>
              </w:rPr>
              <w:t>“[...] arbitrar uma divergência entre o financiador e a consultoria.”</w:t>
            </w:r>
          </w:p>
        </w:tc>
      </w:tr>
    </w:tbl>
    <w:sectPr w:rsidR="00FC693F" w:rsidRPr="0006063C" w:rsidSect="00034616">
      <w:pgSz w:w="12240" w:h="15840"/>
      <w:pgMar w:top="1247" w:right="1417" w:bottom="1247"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L" w:date="2026-10-20T23:04:44Z">
    <w:p>
      <w:pPr>
        <w:pStyle w:val="CommentText"/>
      </w:pPr>
      <w:r>
        <w:rPr>
          <w:rStyle w:val="CommentReference"/>
        </w:rPr>
        <w:annotationRef/>
      </w:r>
      <w:r>
        <w:t>Nos documentos, o nome é “Comissão Especial de Licitação BIRD” (COMISELB). A portaria e a data de nomeação não constam dos arquivos; conferir se foi em 2018. O processo de contratação tem numeração de 2018 (E-10/006/100474/2018).</w:t>
      </w:r>
    </w:p>
  </w:comment>
  <w:comment w:id="1" w:author="Claude" w:initials="CL" w:date="2026-10-20T23:04:44Z">
    <w:p>
      <w:pPr>
        <w:pStyle w:val="CommentText"/>
      </w:pPr>
      <w:r>
        <w:rPr>
          <w:rStyle w:val="CommentReference"/>
        </w:rPr>
        <w:annotationRef/>
      </w:r>
      <w:r>
        <w:t>Não consta dos documentos. Documentados: o Regulamento Interno de Licitações e Contratos da CENTRAL (Nota Técnica, item 61) e a existência da Comissão Especial. Sugestão: atribuir a fonte (“segundo ela”) ou confirmar em ata ou portaria.</w:t>
      </w:r>
    </w:p>
  </w:comment>
  <w:comment w:id="2" w:author="Claude" w:initials="CL" w:date="2026-10-20T23:04:44Z">
    <w:p>
      <w:pPr>
        <w:pStyle w:val="CommentText"/>
      </w:pPr>
      <w:r>
        <w:rPr>
          <w:rStyle w:val="CommentReference"/>
        </w:rPr>
        <w:annotationRef/>
      </w:r>
      <w:r>
        <w:t>Não consta dos documentos (nos arquivos ela assina como Assessora-Chefe de Programas de Investimentos e Superintendente de Captação de Recursos). Confirmar na fonte; se for relato pessoal, pode permanecer.</w:t>
      </w:r>
    </w:p>
  </w:comment>
  <w:comment w:id="3" w:author="Claude" w:initials="CL" w:date="2026-10-20T23:04:44Z">
    <w:p>
      <w:pPr>
        <w:pStyle w:val="CommentText"/>
      </w:pPr>
      <w:r>
        <w:rPr>
          <w:rStyle w:val="CommentReference"/>
        </w:rPr>
        <w:annotationRef/>
      </w:r>
      <w:r>
        <w:t>Não consta dos documentos. Sobre os membros: a Comissão de Avaliação tinha três integrantes e um deles saiu em agosto de 2021 (Nota Técnica, item 135). Verificar quem foi nomeado, quando e por quem.</w:t>
      </w:r>
    </w:p>
  </w:comment>
  <w:comment w:id="4" w:author="Claude" w:initials="CL" w:date="2026-10-20T23:04:44Z">
    <w:p>
      <w:pPr>
        <w:pStyle w:val="CommentText"/>
      </w:pPr>
      <w:r>
        <w:rPr>
          <w:rStyle w:val="CommentReference"/>
        </w:rPr>
        <w:annotationRef/>
      </w:r>
      <w:r>
        <w:t>Precisão: o acordo de empréstimo vencia em 30/12/2022 e o projeto precisava começar até 01/12/2021 (Nota Técnica, itens 19, 20, 150 e 151). Sugestão: “recursos do acordo de empréstimo, que venciam em dezembro de 2022”.</w:t>
      </w:r>
    </w:p>
  </w:comment>
  <w:comment w:id="5" w:author="Claude" w:initials="CL" w:date="2026-10-20T23:04:44Z">
    <w:p>
      <w:pPr>
        <w:pStyle w:val="CommentText"/>
      </w:pPr>
      <w:r>
        <w:rPr>
          <w:rStyle w:val="CommentReference"/>
        </w:rPr>
        <w:annotationRef/>
      </w:r>
      <w:r>
        <w:t>As imagens específicas (crianças em escolas, carros boiando) não constam do Termo de Referência, que cita enchentes, deslizamentos, interrupção de trens e metrôs e a vulnerabilidade de crianças e idosos. Manter como memória ou ficção, ou ancorar numa fonte.</w:t>
      </w:r>
    </w:p>
  </w:comment>
  <w:comment w:id="6" w:author="Claude" w:initials="CL" w:date="2026-10-20T23:04:44Z">
    <w:p>
      <w:pPr>
        <w:pStyle w:val="CommentText"/>
      </w:pPr>
      <w:r>
        <w:rPr>
          <w:rStyle w:val="CommentReference"/>
        </w:rPr>
        <w:annotationRef/>
      </w:r>
      <w:r>
        <w:t>Afirmação de terceiros sem fonte nos documentos. Os documentos mostram método (despachos, atas e e-mails datados). Sugestão: transformar em afirmação do narrador (“Era metódica e detalhista.”) ou indicar a fonte do relato.</w:t>
      </w:r>
    </w:p>
  </w:comment>
  <w:comment w:id="7" w:author="Claude" w:initials="CL" w:date="2026-10-20T23:04:44Z">
    <w:p>
      <w:pPr>
        <w:pStyle w:val="CommentText"/>
      </w:pPr>
      <w:r>
        <w:rPr>
          <w:rStyle w:val="CommentReference"/>
        </w:rPr>
        <w:annotationRef/>
      </w:r>
      <w:r>
        <w:t>Parcialmente inconsistente: as trocas com o Banco e o consórcio foram feitas em e-mails da Comissão (Gmail) e os anexos são impressões datadas de fev./2023, no processo SEI-100006/000248/2023. No SEI de 2021 estavam as consultas internas (processo SEI-100006/001074/2021). Nos documentos o sistema aparece como “SEI/ERJ”.</w:t>
      </w:r>
    </w:p>
  </w:comment>
  <w:comment w:id="8" w:author="Claude" w:initials="CL" w:date="2026-10-20T23:04:44Z">
    <w:p>
      <w:pPr>
        <w:pStyle w:val="CommentText"/>
      </w:pPr>
      <w:r>
        <w:rPr>
          <w:rStyle w:val="CommentReference"/>
        </w:rPr>
        <w:annotationRef/>
      </w:r>
      <w:r>
        <w:t>Anacronismo: em 2021 a área jurídica ainda não havia sido consultada; só se manifestou em 2023. Sugestão: “Não podia obrigar a diretoria financeira a firmar posição”.</w:t>
      </w:r>
    </w:p>
  </w:comment>
  <w:comment w:id="9" w:author="Claude" w:initials="CL" w:date="2026-10-20T23:04:44Z">
    <w:p>
      <w:pPr>
        <w:pStyle w:val="CommentText"/>
      </w:pPr>
      <w:r>
        <w:rPr>
          <w:rStyle w:val="CommentReference"/>
        </w:rPr>
        <w:annotationRef/>
      </w:r>
      <w:r>
        <w:t>Não há divergência interna documentada no Banco. A documentada é entre o especialista do Banco (sem imposto) e a consultoria (IR e ISS); o Banco mudou de posição em 28/09/2021, quando a gerente aceitou incluir ISS e IRRF. Sugestão: “uma divergência entre o financiador e a consultoria”.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