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CENTRAL – Companhia Estadual de Engenharia de Transportes e Logística</w:t>
      </w:r>
    </w:p>
    <w:p>
      <w:pPr>
        <w:spacing w:after="80"/>
      </w:pPr>
      <w:r>
        <w:rPr>
          <w:b/>
          <w:bCs/>
          <w:color w:val="2F5496"/>
          <w:sz w:val="26"/>
          <w:szCs w:val="26"/>
        </w:rPr>
        <w:t xml:space="preserve">Organograma, competências, unidades vinculadas, fundos, dirigentes e pontos focais</w:t>
      </w:r>
    </w:p>
    <w:p>
      <w:pPr>
        <w:spacing w:after="120"/>
      </w:pPr>
      <w:r>
        <w:rPr>
          <w:color w:val="555555"/>
          <w:sz w:val="19"/>
          <w:szCs w:val="19"/>
        </w:rPr>
        <w:t xml:space="preserve">Resposta ao Ofício nº 02/2026 da Equipe de Transição (item 1) · Of. SETRAM/GABSEC nº 838/2026 · Prazo informado: 28/10/2026</w:t>
      </w:r>
    </w:p>
    <w:p>
      <w:pPr>
        <w:shd w:fill="FFF2CC" w:color="auto" w:val="clear"/>
        <w:spacing w:after="160"/>
      </w:pPr>
      <w:r>
        <w:rPr>
          <w:b/>
          <w:bCs/>
          <w:color w:val="C00000"/>
          <w:sz w:val="20"/>
          <w:szCs w:val="20"/>
        </w:rPr>
        <w:t xml:space="preserve">STATUS: RASCUNHO. </w:t>
      </w:r>
      <w:r>
        <w:rPr>
          <w:sz w:val="20"/>
          <w:szCs w:val="20"/>
        </w:rPr>
        <w:t xml:space="preserve">Elaborado a partir do Regimento Interno, do Estatuto Social e dos ofícios. Os campos em amarelo dependem de informação a ser fornecida pela CENTRAL (nomes, pontos focais, fundos). Conferir a estrutura com a versão vigente antes do envio.</w:t>
      </w:r>
    </w:p>
    <w:p>
      <w:pPr>
        <w:pStyle w:val="Heading1"/>
        <w:spacing w:after="120" w:before="240"/>
      </w:pPr>
      <w:r>
        <w:t xml:space="preserve">1. Identificação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Natureza: empresa pública de capital fechado, integrante da Administração Indireta do Estado do Rio de Janeiro, vinculada à Secretaria de Estado de Transportes (Estatuto, art. 1º).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Regime: Lei nº 13.303/2016, Lei nº 6.404/1976, Decreto Estadual nº 46.188/2017 e legislação aplicável.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Objeto: planejar, projetar e fiscalizar a construção e a implantação do sistema de transporte sobre trilhos ou guiados no Estado, e executar atividades conexas: estudos, conservação e reparação de equipamentos essenciais, implantação de sistemas de transportes e terminais de passageiros (Estatuto, art. 3º).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Sede e foro: cidade do Rio de Janeiro (Estatuto, art. 2º).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Documentos de referência: Estatuto Social (POL-CENTRAL-001, aprovado pelo CONADM em 11/11/2024) e Regimento Interno (SEI nº 77097301).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Organograma</w:t>
      </w:r>
    </w:p>
    <w:p>
      <w:pPr>
        <w:pStyle w:val="Heading2"/>
        <w:spacing w:after="80" w:before="180"/>
      </w:pPr>
      <w:r>
        <w:t xml:space="preserve">2.1 Visão geral</w:t>
      </w:r>
    </w:p>
    <w:p>
      <w:pPr>
        <w:spacing w:after="80"/>
        <w:jc w:val="center"/>
      </w:pPr>
      <w:r>
        <w:drawing>
          <wp:inline distT="0" distB="0" distL="0" distR="0">
            <wp:extent cx="7429500" cy="5267325"/>
            <wp:effectExtent t="0" r="0" b="0" l="0"/>
            <wp:docPr id="1" name="f1.png" descr="Organograma" title="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80"/>
      </w:pPr>
      <w:r>
        <w:t xml:space="preserve">2.2 Diretoria da Presidência (PRESI)</w:t>
      </w:r>
    </w:p>
    <w:p>
      <w:pPr>
        <w:spacing w:after="80"/>
        <w:jc w:val="center"/>
      </w:pPr>
      <w:r>
        <w:drawing>
          <wp:inline distT="0" distB="0" distL="0" distR="0">
            <wp:extent cx="8572500" cy="1924050"/>
            <wp:effectExtent t="0" r="0" b="0" l="0"/>
            <wp:docPr id="1" name="f_presi.png" descr="Organograma" title="f_pre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80"/>
      </w:pPr>
      <w:r>
        <w:t xml:space="preserve">2.3 Diretoria de Administração e Finanças (DIRAF)</w:t>
      </w:r>
    </w:p>
    <w:p>
      <w:pPr>
        <w:spacing w:after="80"/>
        <w:jc w:val="center"/>
      </w:pPr>
      <w:r>
        <w:drawing>
          <wp:inline distT="0" distB="0" distL="0" distR="0">
            <wp:extent cx="8572500" cy="2990850"/>
            <wp:effectExtent t="0" r="0" b="0" l="0"/>
            <wp:docPr id="1" name="f_diraf.png" descr="Organograma" title="f_dir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80"/>
      </w:pPr>
      <w:r>
        <w:t xml:space="preserve">2.4 Diretoria de Engenharia e Operação (DIREO)</w:t>
      </w:r>
    </w:p>
    <w:p>
      <w:pPr>
        <w:spacing w:after="80"/>
        <w:jc w:val="center"/>
      </w:pPr>
      <w:r>
        <w:drawing>
          <wp:inline distT="0" distB="0" distL="0" distR="0">
            <wp:extent cx="7620000" cy="3057525"/>
            <wp:effectExtent t="0" r="0" b="0" l="0"/>
            <wp:docPr id="1" name="f_direo.png" descr="Organograma" title="f_dire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80"/>
      </w:pPr>
      <w:r>
        <w:t xml:space="preserve">2.5 Diretoria de Planejamento (DIRPLA)</w:t>
      </w:r>
    </w:p>
    <w:p>
      <w:pPr>
        <w:spacing w:after="80"/>
        <w:jc w:val="center"/>
      </w:pPr>
      <w:r>
        <w:drawing>
          <wp:inline distT="0" distB="0" distL="0" distR="0">
            <wp:extent cx="3048000" cy="2085975"/>
            <wp:effectExtent t="0" r="0" b="0" l="0"/>
            <wp:docPr id="1" name="f_dirpla.png" descr="Organograma" title="f_dirp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240"/>
      </w:pPr>
      <w:r>
        <w:t xml:space="preserve">3. Unidades, competências, dirigentes e pontos focais</w:t>
      </w:r>
    </w:p>
    <w:p>
      <w:pPr>
        <w:spacing w:after="80"/>
      </w:pPr>
      <w:r>
        <w:rPr>
          <w:color w:val="555555"/>
          <w:sz w:val="19"/>
          <w:szCs w:val="19"/>
        </w:rPr>
        <w:t xml:space="preserve">Competências resumidas do Regimento Interno; o texto integral está no artigo indicado na coluna Base.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850"/>
        <w:gridCol w:w="5900"/>
        <w:gridCol w:w="900"/>
        <w:gridCol w:w="1550"/>
        <w:gridCol w:w="1298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Sigla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Unidade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Subordinação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Competências principais (resumo do Regimento)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Dirigente (nome / cargo)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Ponto focal</w:t>
            </w:r>
          </w:p>
        </w:tc>
      </w:tr>
      <w:tr>
        <w:tc>
          <w:tcPr>
            <w:tcW w:type="dxa" w:w="15398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1. Órgãos superiores de deliberação colegiada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AG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Assembleia Geral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Delibera sobre transformação, fusão, cisão e dissolução; reforma do estatuto; eleição e destituição de conselheiros e membros do Comitê de Auditoria; remuneração dos administradores; contas e demonstrações financeiras do exercício; alienação de imóveis vinculados ao serviço.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3º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CONADM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Assembleia Geral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Fixa a orientação geral dos negócios; elege e destitui a Diretoria Executiva; fiscaliza a gestão; aprova plano de negócios e estratégico, políticas (inclusive de riscos e conformidade), Regimento Interno e Regulamento de Licitações; nomeia o titular da Auditoria Interna; cria e elege os comitês de suporte.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4º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CONFIS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Fiscal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Assembleia Geral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Fiscaliza os atos dos administradores; opina sobre o relatório anual e as demonstrações financeiras; analisa balancetes trimestrais; examina o plano e o relatório de auditoria interna; acompanha a execução patrimonial, financeira e orçamentária.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5º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DIREXE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Executiva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Gere as atividades da Companhia e avalia resultados; monitora riscos estratégicos e sustentabilidade; prepara os assuntos para o Conselho; apresenta o plano de negócios e a estratégia de longo prazo; submete a estrutura organizacional ao Conselho; elabora o relatório da administração e as demonstrações financeiras.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14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c>
          <w:tcPr>
            <w:tcW w:type="dxa" w:w="15398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2. Comitês estatutários, órgãos de suporte ao Conselho e Auditoria Interna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COMAUD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Comitê de Auditoria Estatutário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Opina sobre contratação e destituição do auditor independente; supervisiona controle interno, auditoria interna e demonstrações financeiras; monitora exposições de risco e transações com partes relacionadas; recebe denúncias (inclusive sigilosas).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6º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COMEL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Comitê de Elegibilidade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Opina sobre requisitos e vedações para eleição de administradores e conselheiros fiscais; verifica a conformidade do processo de avaliação (prazo de 8 dias úteis).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7º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COMISETI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Comitê de Ética e Compliance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Divulga e supervisiona o Código de Conduta Ética e Integridade; instância consultiva em ética pública; recebe e apura denúncias de desvio de conduta; propõe ações de educação em compliance.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8º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COMISEINF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Comitê de Segurança da Informação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Promove a cultura de segurança da informação; propõe normas, procedimentos e recursos; acompanha investigações de quebras de segurança.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9º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COMRISDP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Comitê de Resposta a Incidentes de Segurança com Dados Pessoais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Conduz os procedimentos em caso de suspeita ou confirmação de incidente com dados pessoais. Composto pelo Diretor-Presidente, DIRAF, DPO, presidente do COMISEINF, Superintendente de TI, chefe da ASSJUR e gerente da GERCOM.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10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COMESG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Comitê Estratégico de Sustentabilidade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Zela pela incorporação das dimensões social, ambiental, climática e de governança na estratégia e nos processos; recomenda objetivos de sustentabilidade e acompanha as ações.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11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COMISPAC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Comissão Permanente de Atividades Correcionais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 (reporta ao Diretor-Presidente)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Dá celeridade aos trabalhos de sindicância punitiva, processo administrativo sancionador e disciplinar, tomada de contas e demais processos de responsabilização. Até 12 membros e um presidente.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12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AUD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Auditoria Interna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Atividade autônoma e de consultoria à alta administração; examina prestações e tomadas de contas; encaminha ao órgão central de auditoria a programação anual e os relatórios; apoia o Sistema de Controle Interno estadual.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13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c>
          <w:tcPr>
            <w:tcW w:type="dxa" w:w="15398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3. Diretoria da Presidência (PRESI) e órgãos de assessoramento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PRESI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da Presidência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Executiva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Convoca e preside a Diretoria Executiva; representa a Companhia em juízo e fora dele; nomeia e dispensa ocupantes de cargos de confiança; autoriza ações judiciais, admissões e demissões; firma convênios e contratos; constitui comissões.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16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Luiz Claudio Fernandes Lourenço Gomes – Diretor-Presidente (nome conforme o destinatário do Of. SETRAM/GABSEC nº 838/2026; confirmar)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CHEGAB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Gabinete da Presidência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Assessora o Presidente; coordena o apoio técnico e administrativo, a documentação e o expediente; coordena a emissão de resoluções, portarias e atos para assinatura do Diretor-Presidente.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17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ASSGER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Assessoria de Governança, Riscos e Compliance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 (liderada pelo Diretor-Presidente)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Governança corporativa e Lei das Estatais; Relatório Anual de Governança; integridade e compliance; políticas de conformidade, controle interno e gerenciamento de riscos; coordena identificação, avaliação e planos de ação de riscos; planos de contingência; relatórios trimestrais.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18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ASSTAD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Assessoria Técnica e Administrativa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Assessora o Diretor-Presidente na gestão das unidades e em questões estratégicas; elabora e monitora planos de ação; monitora as demandas dos órgãos de controle e de outros órgãos externos.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19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ASSCON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Assessoria de Gestão de Contratos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Órgão central de gestão e coordenação de contratos, convênios e congêneres; apoia gestores e fiscais; coordena a prestação de contas dos contratos perante os órgãos de controle.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20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ASSPRIN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Assessoria de Programas de Investimentos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Busca e mobilização de recursos junto a órgãos de fomento e agentes financeiros; elabora propostas e cartas-consulta de financiamento; acompanha as negociações.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21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ASSJUR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Assessoria Jurídica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Manifesta-se sobre a legalidade dos atos da Companhia; assessora na interpretação de normas, contratos e instrumentos; uniformiza entendimentos da PGE; acompanha os aspectos jurídicos do atendimento aos órgãos de controle.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22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GERCOM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Comunicação Social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Assessora a gestão em comunicação social; divulga atos, ações e eventos; produz material gráfico, audiovisual e digital; relacionamento com a imprensa e os públicos da instituição.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23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OUVI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Ouvidoria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Recebe e trata manifestações, representações, denúncias e pedidos de acesso à informação; intermedeia com os setores internos; elabora relatórios periódicos da ouvidoria.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24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c>
          <w:tcPr>
            <w:tcW w:type="dxa" w:w="15398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4. Diretoria de Administração e Finanças (DIRAF)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DIRAF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de Administração e Finanças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Executiva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Dirige as políticas de materiais, licitações, patrimônio, apoio geral, tecnologia da informação, segurança da informação, finanças, contabilidade, seguros, arrecadação, gestão documental e gestão de pessoas.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26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SUPTIN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Tecnologia da Informação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DIRAF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Cumpre as diretrizes técnicas do PRODERJ; encaminha o planejamento anual de TIC e o PDTIC; responde pela política de TIC da Companhia.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27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GERTIN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Tecnologia da Informação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SUPTIN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Avalia necessidades de software, hardware e dados; mantém aplicações e sistemas; gerencia as redes; fiscaliza fornecimentos e serviços de TI.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28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SUPADM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Administrativa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DIRAF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Supervisiona compras, materiais, protocolo, expediente, manutenção predial e racionalização de rotinas; supervisiona as licitações de projetos, obras, materiais e serviços.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29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GERLIC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Licitações e Contratos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SUPADM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Gerencia os procedimentos de licitação; mantém atualizados os dados das contratações no SIAFE-RIO; encaminha os atos de contratação ao TCE-RJ; acompanha pregão e comissões especiais.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30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GERADM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Administrativa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SUPADM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Controla almoxarifado e estoque; pesquisa de preços para compras e serviços; assessora no monitoramento das compras estratégicas; gerencia protocolo e os sistemas SIGA-RJ e SEI-RJ.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31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SUPGEP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Gestão de Pessoas, Segurança e Medicina do Trabalho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DIRAF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Planeja a política de gestão de pessoas, os gastos de pessoal e a folha de pagamento; planeja a política de engenharia de segurança e medicina do trabalho.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32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GERGEP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Gestão de Pessoas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SUPGEP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Operacionaliza a folha, os direitos e deveres dos empregados ativos e inativos e o controle funcional; controla a programação de gastos de pessoal.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33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GERMST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Serviço Social, Segurança e Medicina do Trabalho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SUPGEP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Processos pedagógicos, psicológicos, assistenciais e sociais; treinamento, recrutamento e seleção; SESMT e engenharia de segurança e medicina do trabalho.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34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SUPFIC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Finanças e Contabilidade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DIRAF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Planeja a administração financeira, a contabilidade e o controle; planeja a gestão de recursos próprios e provenientes do Tesouro do Estado e do Banco Mundial.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35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GERFIN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Finanças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SUPFIC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Gerencia a administração financeira; gere recursos próprios e de outras fontes (Tesouro Estadual, terceiros, convênios e empréstimos); relatório de movimentação financeira do exercício.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36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GERCOT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Contabilidade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SUPFIC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Gerencia a contabilidade; firma atos de responsabilidade contábil; escrituração das operações no SIAFE-RIO.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37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SUPAT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Gestão Patrimonial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DIRAF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Planeja a administração e fiscalização dos bens patrimoniais, inclusive os do Contrato de Concessão; captação de receitas; convênios, cessões de uso, comodatos, alienação e regularização de imóveis.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38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GERADP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Administração Patrimonial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SUPAT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Controla o pagamento dos ocupantes de imóveis; administra os instrumentos de direito público e privado sobre imóveis ocupados por empregados e terceiros; revisão e renegociação de contratos.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39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GERFIP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Fiscalização Patrimonial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SUPAT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Vistoria, controle e avaliação de bens patrimoniais; fiscaliza propaganda clandestina e o cumprimento das cláusulas dos instrumentos de ocupação.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40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c>
          <w:tcPr>
            <w:tcW w:type="dxa" w:w="15398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5. Diretoria de Engenharia e Operação (DIREO)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DIREO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de Engenharia e Operação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Executiva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Dirige as políticas de planejamento de transportes, projetos e obras de recuperação e ampliação do patrimônio, operação e manutenção do sistema ferroviário; acompanha e fiscaliza contratos e convênios da diretoria.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42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SUPMRS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Material Rodante e Sistemas Eletroeletrônicos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Executa as políticas do sistema ferroviário quanto a material rodante e sistemas eletroeletrônicos, com foco em segurança operacional; supervisiona e fiscaliza as aquisições.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43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GERMAR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Material Rodante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SUPMRS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Controla os processos do material rodante; instrui os planos de manutenção; métodos para melhorar o desempenho do material rodante.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44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GERSIS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Sistemas Eletroeletrônicos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SUPMRS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Controla os processos dos sistemas eletroeletrônicos; instrui os planos de manutenção; métodos para melhorar seu desempenho.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45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SUPVIP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Via Permanente, Obras Civis e Manutenção Predial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Executa as políticas do sistema ferroviário quanto a via permanente, obras civis e manutenção predial; supervisiona e fiscaliza aquisições e processos em andamento.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46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GERVIP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Via Permanente e Obras Civis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SUPVIP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Controla os processos de via permanente e obras civis; instrui os planos de manutenção; métodos para melhorar o desempenho.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47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GERMAP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Manutenção Predial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SUPVIP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Controla a manutenção predial; elabora os planos de manutenção; apura e otimiza custos; projetos de engenharia e construção das instalações prediais.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48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SUPTRA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Manutenção e Operação de Transportes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Executa as políticas do sistema ferroviário quanto à manutenção e operação dos sistemas operados pela empresa, com foco em segurança operacional.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49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GEROPT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Operação de Transportes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SUPTRA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Controla a operação dos sistemas operados pela empresa; planeja e controla a circulação dos bondes e outros veículos; procedimentos de segurança.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50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GERMAT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Manutenção de Transportes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SUPTRA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Planejamento e controle da manutenção preventiva do material rodante, equipamentos e sistemas; desempenho da manutenção do Sistema de Bondes de Santa Teresa e de outros sistemas.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51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ASSPRE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Assessoria de Projetos Especiais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Planeja e coordena projetos que integram vários órgãos; projetos de valorização de áreas; estudos de modernização e ampliação do transporte sobre trilhos; projetos de convênios com prefeituras.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52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c>
          <w:tcPr>
            <w:tcW w:type="dxa" w:w="15398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6. Diretoria de Planejamento (DIRPLA)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DIRPLA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de Planejamento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Executiva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Dirige as políticas de planejamento e orçamento; avalia a execução dos planos, programas e projetos; coordena o planejamento estratégico e o Plano de Investimentos do Poder Executivo (PIERJ).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54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SUPLAN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Planejamento e Gestão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DIRPLA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Coordena os orçamentos anuais, a LDO e o PPA; coordena a gestão e a programação de investimentos; articula-se com os órgãos estaduais de planejamento e orçamento; atos de gestão orçamentária.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55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GERORT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Orçamento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SUPLAN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Monitora o cumprimento do orçamento anual; propostas orçamentárias, reprogramações e suplementações; programação e execução orçamentária; compatibilização com o PPA.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56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GERPLA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Planejamento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SUPLAN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Auxilia a gestão e a programação de investimentos; apoia a elaboração do PPA, da LDO e da PLOA; acompanha o desempenho do PPA.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57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4. Unidades vinculadas e fundos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Vinculação: a CENTRAL é vinculada à Secretaria de Estado de Transportes (Estatuto, art. 1º). Para efeito do ofício, a autoridade superior é a SETRAM.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Unidades vinculadas ao Conselho de Administração: COMAUD, COMEL, COMISETI, COMISEINF, COMRISDP, COMESG, COMISPAC e Auditoria Interna (Regimento, art. 2º, II a IV).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Subsidiárias ou participações societárias: nenhuma identificada nos documentos consultados.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Fundos: nenhum fundo próprio identificado. Ver o item 5.</w:t>
      </w:r>
    </w:p>
    <w:p>
      <w:pPr>
        <w:pStyle w:val="Heading1"/>
        <w:spacing w:after="120" w:before="240"/>
      </w:pPr>
      <w:r>
        <w:t xml:space="preserve">5. Informações pendentes e pontos a confirmar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19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falta / a confirmar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Dirigentes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Nome, cargo e data de posse de cada diretor, superintendente, gerente e assessor-chefe. O Regimento traz só os cargos. Único nome identificado: o do Diretor-Presidente, constante do destinatário do ofício.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Pontos focais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Indicar, por atividade, o contato responsável para a Equipe de Transição (nome, e-mail e telefone).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Fundos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 Regimento e o Estatuto não identificam fundos próprios da CENTRAL. Aparecem apenas o fundo de pensão (previdência complementar) dos empregados e o Fundo de Indenização dos administradores (Estatuto, art. 43). Confirmar com ASSJUR e SUPFIC se há fundo vinculado.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Unidades vinculadas / subsidiárias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Não há subsidiárias previstas nos documentos (o Conselho pode autorizar a constituição de subsidiárias, art. 4º, XXXIX). Confirmar.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Estrutura vigente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 Regimento consultado é a versão impressa em 25/06/2024 (SEI nº 77097301). Confirmar se houve alteração de estrutura, nomeações ou novos cargos depois dessa data.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Anexos do Regimento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Os Anexos I a V (estrutura organizacional gráfica) não foram usados. Os desenhos deste documento foram feitos a partir do texto dos artigos e devem ser comparados com os anexos oficiais.</w:t>
            </w:r>
          </w:p>
        </w:tc>
      </w:tr>
    </w:tbl>
    <w:sectPr>
      <w:footerReference w:type="default" r:id="rId7"/>
      <w:pgSz w:w="16838" w:h="11906" w:orient="landscape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CENTRAL · Transição governamental 2026 · Item 1 do Ofício nº 02/2026 · RASCUNHO ·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cfd019e59a4ef88c925efa2261290c44e8306e8.png"/><Relationship Id="rId9" Type="http://schemas.openxmlformats.org/officeDocument/2006/relationships/image" Target="media/ed06c4c5e4c231620875b0c3422b4acd4a92b542.png"/><Relationship Id="rId10" Type="http://schemas.openxmlformats.org/officeDocument/2006/relationships/image" Target="media/3408821c66bf1121717e4052b568cc646e5830ae.png"/><Relationship Id="rId11" Type="http://schemas.openxmlformats.org/officeDocument/2006/relationships/image" Target="media/e1458f524fbab61a8c2b0df6bdf2033221e57c55.png"/><Relationship Id="rId12" Type="http://schemas.openxmlformats.org/officeDocument/2006/relationships/image" Target="media/863645f62ec7c7217bd346261850708be2a0f7a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2026-10-28T13:48:57.739Z</dcterms:created>
  <dcterms:modified xsi:type="dcterms:W3CDTF">2026-10-28T13:48:57.739Z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