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Governo do Estado do Rio de Janeiro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Companhia Estadual de Engenharia de Transportes e Logística — CENTRAL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NOTA TÉCNICA CENTRAL/ASSGER Nº __/2026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Orientação para a padronização dos procedimentos de gestão das descentralizações de crédito orçamentário (TED), à luz do Decreto Estadual nº 50.334/2026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Para: </w:t>
      </w:r>
      <w:r>
        <w:rPr>
          <w:rFonts w:ascii="Arial" w:cs="Arial" w:eastAsia="Arial" w:hAnsi="Arial"/>
          <w:sz w:val="20"/>
          <w:szCs w:val="20"/>
        </w:rPr>
        <w:t xml:space="preserve">Presidência — PRESI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De: </w:t>
      </w:r>
      <w:r>
        <w:rPr>
          <w:rFonts w:ascii="Arial" w:cs="Arial" w:eastAsia="Arial" w:hAnsi="Arial"/>
          <w:sz w:val="20"/>
          <w:szCs w:val="20"/>
        </w:rPr>
        <w:t xml:space="preserve">Assessoria de Governança, Riscos e Compliance — ASSGER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Processo: </w:t>
      </w:r>
      <w:r>
        <w:rPr>
          <w:rFonts w:ascii="Arial" w:cs="Arial" w:eastAsia="Arial" w:hAnsi="Arial"/>
          <w:sz w:val="20"/>
          <w:szCs w:val="20"/>
        </w:rPr>
        <w:t xml:space="preserve">SEI-100006/001344/2025 (relacionado: SEI-100006/000782/2026)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Referência: </w:t>
      </w:r>
      <w:r>
        <w:rPr>
          <w:rFonts w:ascii="Arial" w:cs="Arial" w:eastAsia="Arial" w:hAnsi="Arial"/>
          <w:sz w:val="20"/>
          <w:szCs w:val="20"/>
        </w:rPr>
        <w:t xml:space="preserve">Despacho da Presidência SEI nº 143052972, de 02/10/2026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Objetivo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Orientar a Presidência e a Diretoria Executiva sobre como padronizar, em norma interna, a formalização, a execução, o acompanhamento e a prestação de contas das descentralizações de crédito orçamentário, à luz do Decreto Estadual nº 50.334/2026, que instituiu o Termo de Execução de Descentralização de Crédito Orçamentário (TED) e revogou o Decreto nº 42.436/2010. A orientação atende ao despacho da Presidência e à recomendação da Auditoria Interna (CI AUD nº 13/2026 e monitoramento de 01/10/2026, SEI nº 142784431).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O que recomendamos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Padronizar em uma Norma interna, com anexos operacionais. </w:t>
      </w:r>
      <w:r>
        <w:rPr>
          <w:rFonts w:ascii="Arial" w:cs="Arial" w:eastAsia="Arial" w:hAnsi="Arial"/>
          <w:sz w:val="20"/>
          <w:szCs w:val="20"/>
        </w:rPr>
        <w:t xml:space="preserve">A Norma fixa regras, responsabilidades e prazos. Os anexos trazem os modelos do decreto (Anexos I e II), a lista de verificação e o fluxo passo a passo. Pelo POP-CENTRAL-001 (item 6), o instrumento que define regras gerenciais, níveis de decisão e responsabilidades é a Norma, aprovada pela Diretoria Executiva após parecer da ASSJUR e validação da ASSGER. Um instrumento único evita repetir as mesmas regras em norma e em POP.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área gestora é a DIRPLA. </w:t>
      </w:r>
      <w:r>
        <w:rPr>
          <w:rFonts w:ascii="Arial" w:cs="Arial" w:eastAsia="Arial" w:hAnsi="Arial"/>
          <w:sz w:val="20"/>
          <w:szCs w:val="20"/>
        </w:rPr>
        <w:t xml:space="preserve">Pelo Regimento Interno, a DIRPLA tem competência para normatizar matéria orçamentária (art. 54, I) e para revisar a legislação da Unidade Orçamentária (art. 54, VI), e a GERORT promove a descentralização de créditos e executa as NAD e Notas de Empenho (art. 56). O Regimento não cita o TED expressamente, e a atribuição decorre da matéria. A DIRAF (SUPFIC e GERFIN), a DIREO e as demais áreas que atuem como concedente ou executante são corresponsáveis. Recomenda-se que a Diretoria Executiva registre essa definição na reunião prevista, com a base de competência (Estatuto, art. 34, casos omissos).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Mapear o processo e os riscos do TED antes da minuta. </w:t>
      </w:r>
      <w:r>
        <w:rPr>
          <w:rFonts w:ascii="Arial" w:cs="Arial" w:eastAsia="Arial" w:hAnsi="Arial"/>
          <w:sz w:val="20"/>
          <w:szCs w:val="20"/>
        </w:rPr>
        <w:t xml:space="preserve">Os gestores de área mapeiam os processos e riscos e elaboram os normativos com os controles necessários (Política de Gestão de Riscos, arts. 49, XII, e 50). A seção 6 traz os riscos que a Auditoria já evidenciou. A minuta deve vir acompanhada do mapeamento e da Matriz de Riscos.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Cobrir o escopo mínimo da seção 3, </w:t>
      </w:r>
      <w:r>
        <w:rPr>
          <w:rFonts w:ascii="Arial" w:cs="Arial" w:eastAsia="Arial" w:hAnsi="Arial"/>
          <w:sz w:val="20"/>
          <w:szCs w:val="20"/>
        </w:rPr>
        <w:t xml:space="preserve">que reúne, tema a tema, o que o decreto exige e o que a Norma precisa definir.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Seguir o fluxo da seção 7, </w:t>
      </w:r>
      <w:r>
        <w:rPr>
          <w:rFonts w:ascii="Arial" w:cs="Arial" w:eastAsia="Arial" w:hAnsi="Arial"/>
          <w:sz w:val="20"/>
          <w:szCs w:val="20"/>
        </w:rPr>
        <w:t xml:space="preserve">baseado no POP-CENTRAL-001.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Resolver os pontos da seção 9 </w:t>
      </w:r>
      <w:r>
        <w:rPr>
          <w:rFonts w:ascii="Arial" w:cs="Arial" w:eastAsia="Arial" w:hAnsi="Arial"/>
          <w:sz w:val="20"/>
          <w:szCs w:val="20"/>
        </w:rPr>
        <w:t xml:space="preserve">antes da aprovação.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Escopo mínimo da Norma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Estrutura sugerida: (1) objeto e aplicação; (2) definições; (3) competências; (4) formalização; (5) execução e acompanhamento; (6) alterações, suspensão, rescisão e encerramento; (7) prestação de contas; (8) riscos e controles; (9) disposições finais; anexos (modelos, lista de verificação e fluxo).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500"/>
        <w:gridCol w:w="4300"/>
        <w:gridCol w:w="3458"/>
      </w:tblGrid>
      <w:tr>
        <w:trPr>
          <w:tblHeader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o Decreto 50.334/2026 exige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a Norma deve definir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Cabimento e instrumentos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descentralização externa se faz por Portaria ou Resolução Conjunta, numerada pelo Concedente, com destaque de crédito registrado em Nota de Descentralização (art. 10 e Anexo I). A interna é entre unidades do mesmo órgão, por NC (art. 9). O TED é a regra (art. 12, §1º). Só se dispensa se o valor for inferior a 20.000 UFIRs-RJ e houver processo licitatório já instruído (art. 18). É vedado fracionar (art. 8º, conforme a lista de verificação da AUD) e descentralizar para pagar precatórios (art. 12, §3º).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 CENTRAL decide se atua como concedente ou executante e qual instrumento usar. Quem verifica as hipóteses de dispensa do TED e como a decisão é registrada no processo.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Condições do crédito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Compatível com a LOA e a LDO e dentro do montante autorizado (art. 13). Execução fiel à classificação funcional, ao programa de trabalho e à natureza da despesa (arts. 11 e 14).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Conferência prévia da dotação, do programa de trabalho e da natureza da despesa, com registro no processo.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Formalização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Portaria ou Resolução Conjunta com os itens do art. 10, §1º, e vigência até o fim do exercício (inciso VI). TED com os itens do art. 16 (objeto, vigência, plano de trabalho, previsão orçamentária, obrigações, cronogramas, valor, crédito e forma de monitoramento e prestação de contas), assinado pelos dirigentes máximos.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Modelos oficiais adotados (Anexos I e II do decreto), quem minuta, quem revisa (ASSJUR) e quem assina. Numeração e guarda no SEI.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Publicação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do TED e dos aditivos que alterem valor ou prazo, no sítio do Concedente, em 20 dias da assinatura, e disponibilização da íntegra (Anexo II, item 7).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pela publicação e controle do prazo.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Gestores e fiscais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Designação, em 20 dias da celebração, de ao menos um titular e um suplente por partícipe, com ato publicado no sítio. Fiscais e gestores respondem por atos culposos e dolosos (art. 20 e parágrafos).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indica, quem designa e por qual ato, prazo, publicação e orientação aos designados.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Obrigações do Concedente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Liberar recursos em tempo hábil, manter a documentação, deliberar sobre acréscimos, aprovar projetos e atestar recebimento, realizar os procedimentos nos sistemas e acompanhar a execução (art. 3º). Relatórios parciais e apoio técnico (art. 21).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Atribuição por cargo e por etapa quando a CENTRAL é concedente.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Obrigações do Executante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Submeter acréscimos à prévia autorização, cadastrar e baixar os contratos no SIAFE-Rio, enviar relatório físico-financeiro trimestral (art. 4º). O ordenador de despesa responde pela correta aplicação, e os documentos ficam arquivados (art. 5º). Vedação de destino diverso e de gratificação (art. 6º, IV e V).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Atribuição por cargo quando a CENTRAL é executante e o fluxo do relatório trimestral até o concedente.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Alterações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Proposta formal e justificada, sem mudança do objeto. Apostila para ajustes que não alterem valor global nem vigência (art. 17).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propõe e quem aprova, e quando cabe apostila ou termo aditivo.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Irregularidades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Concedente suspende a descentralização diante de indícios de irregularidade, abre prazo de 30 dias para justificativas e decide sobre retomada ou rescisão (art. 22).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identifica os indícios, quem decide e como se registra.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Denúncia, rescisão e encerramento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Denúncia a qualquer tempo (art. 23). Devolução dos créditos e recursos em 30 dias do encerramento, e dos créditos não usados até o fim do exercício (arts. 15 e 24). Relatório de cumprimento e tomada de contas quando devidos (art. 24, §§1º e 2º). Bens incorporados ao patrimônio do Concedente (art. 19).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confere a devolução, quem instaura a tomada de contas e como se tratam os bens.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Prestação de contas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Final, do total dos recursos recebidos, na forma dos normativos da CGE (art. 25). A Portaria AGE nº 10/2023 prevê relatório trimestral em 30 dias e prestação final em 60 dias (CI AUD nº 26/2025).</w:t>
            </w:r>
          </w:p>
        </w:tc>
        <w:tc>
          <w:tcPr>
            <w:tcW w:type="dxa" w:w="3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Calendário, documentos e responsáveis. Confirmar com a CGE a vigência da Portaria AGE nº 10/2023 após o decreto.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Quem faz o quê (sugestão)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Distribuição a validar pela área gestora, a partir do decreto e do Regimento.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rPr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Atribuição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Responsável sugerido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Decidir a descentralização e assinar a Portaria ou Resolução Conjunta e o TED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Diretor-Presidente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arts. 10 e 16, parágrafo único; ver seção 9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Conferir LOA e LDO, reservar a dotação e emitir a NC (CENTRAL concedente)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DIRPLA, por meio da GERORT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arts. 6º, I, e 13; Regimento, art. 56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Liberar e repassar recursos financeiros; conferir devoluções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DIRAF, por meio da SUPFIC e da GERFIN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arts. 6º, II e III, e 15; Regimento, arts. 35 e 36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 baixar contratos no SIAFE-Rio; manter os dados das contratações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SUPFIC (GERCOT) e GERLIC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art. 4º, II e III; Regimento, arts. 30 e 37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Executar o objeto, enviar o relatório trimestral e a prestação de contas final (CENTRAL executante)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DIREO e as demais áreas executantes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arts. 4º, IV, e 25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Indicar e designar gestor e fiscais do TED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responsável pelo objeto indica; Presidência designa, com publicação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art. 20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pela correta aplicação dos recursos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Ordenador de despesa do executante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art. 5º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Analisar a minuta do TED e dos modelos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ASSJUR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Regimento, art. 22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Publicar extratos, aditivos e atos de designação no sítio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ASSTAD, por solicitação da área gestora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 II, item 7; Decreto, art. 20, §1º; Regimento, art. 19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Orientar, analisar tecnicamente, validar e monitorar riscos e planos de ação (2ª linha)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ASSGER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Estatuto, art. 72; Regimento, art. 18; Política de Riscos, arts. 46, II, e 51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Avaliar de forma independente (3ª linha)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 Interna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Regimento, art. 13; Política de Riscos, art. 46, III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Prazos e controles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Prazos do decreto que a Norma deve incorporar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2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Prazo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Vigência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ultrapassa o exercício financeiro.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10, §1º, VI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dias da celebração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Designar gestor e fiscais, titulares e suplentes, e publicar o ato.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20 e §1º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dias da assinatura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Publicar o extrato do TED e dos aditivos que alterem valor ou prazo, e disponibilizar a íntegra.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 II, item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Trimestral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de acompanhamento e avaliação físico-financeira ao concedente (30 dias após o trimestre, pela Portaria AGE 10/2023).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4º, IV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dias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Devolver créditos e recursos após o encerramento ou a conclusão. Créditos não usados voltam até o fim do exercício.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15 e §2º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dias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Devolver créditos e recursos na denúncia ou rescisão, contados da publicação do evento.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dias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do Executante para justificativas diante de indícios de irregularidade.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22 (lista de verificação da AUD)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Conforme a CGE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Prestação de contas final (60 dias do fim da vigência, pela Portaria AGE 10/2023).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25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Controles sugeridos para a Norma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938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Controle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resolve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verificação antes da formalização: cabimento do TED, LOA e LDO, precatórios, fracionamento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 descentralização fora das hipóteses do decreto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de prazos de cada TED, com alerta (designação, publicação, relatórios, devolução)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 o descumprimento de prazos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processo SEI por TED, relacionado ao de concessão e ao de execução, com todos os documentos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de processo de concessão e de registro dos relatórios apontada pela AUD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Conciliação trimestral entre os instrumentos e os saldos do SIAFE-Rio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Divergências de valores e saldos não devolvidos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das recomendações e pendências de prestação de contas, com responsável e prazo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Pendências que se repetem de um exercício para o outro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semestral de riscos à Diretoria Executiva, incluindo os TEDs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Detectivo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Visibilidade dos riscos elevados e extremos (Política de Riscos, art. 27)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Riscos a mapear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Lista inicial, a partir do que a Auditoria já evidenciou. A área gestora a completa com as áreas corresponsáveis e classifica cada risco em baixo, médio, elevado ou extremo (Política de Riscos, arts. 20 e 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1500"/>
        <w:gridCol w:w="25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Risco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Categoria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Resposta sugerida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Prestação de contas final fora do prazo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Técnica AUD 03/2026 (SEI 133557757): cinco instrumentos com prestação final pendente após os 60 dias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Regulamentar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com alerta, responsável por instrumento e acompanhamento trimestral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trimestral sem registro de envio ao concedente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 de 01/10/2026 (SEI 142784431): os processos de execução de 2026 não trazem os envios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Operacional e regulamentar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do relatório no SEI, com protocolo e cópia à AUD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de concessão não identificado ou com acesso restrito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Monitoramento: FLUMITRENS (processo de concessão não identificado) e SETRAM, Resolução 277/2026 (acesso restrito)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SEI único por TED, relacionado ao de concessão, com acesso das áreas responsáveis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Pendências de exercícios anteriores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 AUD 26/2025 e monitoramento: prestações de contas do FECAM de 2023 a 2025 em regularização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Regulamentar e financeiro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específico, com responsável e prazo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não devolvido no prazo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arts. 15 e 24; quadros da CI AUD 26/2025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Conferência de saldos no encerramento e lista de verificação de devolução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Destino diverso dos recursos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Decreto, art. 6º, IV e V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Integridade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Cláusula no TED, conferência do plano de trabalho e do relatório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Fluxo de elaboração e aprovação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Baseado no POP-CENTRAL-001.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300"/>
        <w:gridCol w:w="2938"/>
      </w:tblGrid>
      <w:tr>
        <w:trPr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Etapa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a DIRPLA como área gestora e a base de competência, na reunião já prevista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Diretoria Executiva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processo próprio da norma e definir o plano de trabalho (POP-001, item 7.2.1)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Diretor da DIRPLA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Entregar o modelo de mapeamento e a Matriz de Riscos (POP-001, item 7.2.4)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ASSGER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Mapear o processo e os riscos, com Matriz de Riscos e plano de ação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DIRPLA com as áreas corresponsáveis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Elaborar a minuta da Norma e dos anexos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DIRPLA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as áreas corresponsáveis (POP-001, item 7.5)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DIRPLA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Análise técnica e validação (POP-001, item 7.4; Política de Riscos, art. 51)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ASSGER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Parecer jurídico (POP-001, item 7.3; Regimento, art. 22)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ASSJUR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(POP-001, item 7.6)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Diretoria Executiva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Divulgação e atualização do repositório (POP-001, item 7.8)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ASSTAD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Como a ASSGER atua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à área gestora o modelo de mapeamento e a Matriz de Riscos, com orientação sobre as categorias de risco da Política.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Acompanha as reuniões de levantamento de riscos e orienta a classificação e as respostas.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Analisa a minuta e confere: aderência a cada artigo do decreto listado na seção 3, segregação de funções (autorização, aprovação, execução, controle e contabilização), um controle para cada risco relevante, e coerência com o Estatuto, a Política de Riscos, o Regimento e o POP-CENTRAL-001.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 a minuta e a encaminha à Diretoria Executiva, depois do parecer da ASSJUR.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 o plano de ação e leva à Diretoria Executiva os riscos extremos, em relatório (Política de Riscos, art. 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Orienta a atualização das normas internas que ainda citam o Decreto nº 42.436/2010, hoje revogado.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Pontos a decidir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da área gestora (Diretoria Executiva). </w:t>
      </w:r>
      <w:r>
        <w:rPr>
          <w:rFonts w:ascii="Arial" w:cs="Arial" w:eastAsia="Arial" w:hAnsi="Arial"/>
          <w:sz w:val="20"/>
          <w:szCs w:val="20"/>
        </w:rPr>
        <w:t xml:space="preserve">Registrar a DIRPLA, pelos fundamentos da seção 2.2.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Tipo de instrumento (Diretoria Executiva). </w:t>
      </w:r>
      <w:r>
        <w:rPr>
          <w:rFonts w:ascii="Arial" w:cs="Arial" w:eastAsia="Arial" w:hAnsi="Arial"/>
          <w:sz w:val="20"/>
          <w:szCs w:val="20"/>
        </w:rPr>
        <w:t xml:space="preserve">Sugestão: Norma com anexos. Se a opção for um POP, o conteúdo é o mesmo e muda o caminho de aprovação: validação da ASSGER e aprovação da Diretoria Executiva, sem parecer obrigatório da ASSJUR.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Autorização e assinatura (ASSJUR). </w:t>
      </w:r>
      <w:r>
        <w:rPr>
          <w:rFonts w:ascii="Arial" w:cs="Arial" w:eastAsia="Arial" w:hAnsi="Arial"/>
          <w:sz w:val="20"/>
          <w:szCs w:val="20"/>
        </w:rPr>
        <w:t xml:space="preserve">Definir se o TED se enquadra no art. 34, VI, do Estatuto (a Diretoria Executiva autoriza convênios e contratos de valor igual ou superior ao da modalidade concorrência) e quem assina por parte da CENTRAL.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Alçadas e valores (Conselho de Administração). </w:t>
      </w:r>
      <w:r>
        <w:rPr>
          <w:rFonts w:ascii="Arial" w:cs="Arial" w:eastAsia="Arial" w:hAnsi="Arial"/>
          <w:sz w:val="20"/>
          <w:szCs w:val="20"/>
        </w:rPr>
        <w:t xml:space="preserve">A Norma não cria alçadas. Se for necessário limite de valor, ele fica na política de alçada, e a Norma remete a ela.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Normativos da CGE (consulta à CGE). </w:t>
      </w:r>
      <w:r>
        <w:rPr>
          <w:rFonts w:ascii="Arial" w:cs="Arial" w:eastAsia="Arial" w:hAnsi="Arial"/>
          <w:sz w:val="20"/>
          <w:szCs w:val="20"/>
        </w:rPr>
        <w:t xml:space="preserve">Confirmar a vigência da Portaria AGE nº 10/2023 e os normativos de prestação de contas após o decreto (art. 25).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Pendências de 2025 (áreas responsáveis). </w:t>
      </w:r>
      <w:r>
        <w:rPr>
          <w:rFonts w:ascii="Arial" w:cs="Arial" w:eastAsia="Arial" w:hAnsi="Arial"/>
          <w:sz w:val="20"/>
          <w:szCs w:val="20"/>
        </w:rPr>
        <w:t xml:space="preserve">A regularização das cinco prestações de contas finais é independente da Norma. O monitoramento da Auditoria pede a resposta das áreas até 30/10/2026.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Base normativa e fontes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Citadas na versão disponível na data desta Nota. As normas internas estão sujeitas a revisão, e a Norma proposta deve citá-las pelo conteúdo e pelo artigo.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Estatuto Social da CENTRAL (2024): arts. 34 e 72.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Política de Gestão de Riscos, Conformidade e Controles Internos: arts. 20, 25, 27, 46, 48 a 51. Disponível em </w:t>
      </w:r>
      <w:hyperlink w:history="1" r:id="rIdvnhi5b9r90cjx5tltbbb8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rj.gov.br/central — Política de Gestão de Riscos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Regimento Interno da CENTRAL (v1): arts. 13, 18, 19, 22, 30, 35 a 37, 54 e 56. Há proposta de revisão em 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POP-CENTRAL-001, Procedimento para Elaboração de Instrumentos Normativos, v2.0: itens 5, 6 e 7. Disponível em </w:t>
      </w:r>
      <w:hyperlink w:history="1" r:id="rIds_bl-tugrs-jn-tlbnbhf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rj.gov.br/central — POP-CENTRAL-001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Decreto Estadual nº 50.334/2026 (SEI nº 136064464), com os modelos dos Anexos I e II (SEI nº 136070427 e 136075024).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 CENTRAL/AUD nº 26/2025 (SEI nº 121841776), CI CENTRAL/AUD nº 13/2026 (SEI nº 136059743), lista de verificação (SEI nº 136089053), Nota Técnica AUD nº 03/2026 (SEI nº 133557757) e monitoramento de 01/10/2026 (SEI nº 142784431).</w:t>
      </w:r>
    </w:p>
    <w:p>
      <w:pPr>
        <w:spacing w:after="160" w:before="240"/>
      </w:pPr>
      <w:r>
        <w:rPr>
          <w:rFonts w:ascii="Arial" w:cs="Arial" w:eastAsia="Arial" w:hAnsi="Arial"/>
          <w:sz w:val="20"/>
          <w:szCs w:val="20"/>
        </w:rPr>
        <w:t xml:space="preserve">Rio de Janeiro, [data].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Assessoria de Governança, Riscos e Compliance — ASSGER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[assinatura eletrônica do(a) Assessor(a)-Chefe]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nhi5b9r90cjx5tltbbb8" Type="http://schemas.openxmlformats.org/officeDocument/2006/relationships/hyperlink" Target="https://www.rj.gov.br/central/sites/default/files/arquivos_paginas/Politica%20de%20Gest%C3%A3o%20de%20Riscos%2C%20Conformidade%20e%20Controles%20Internos_0.pdf" TargetMode="External"/><Relationship Id="rIds_bl-tugrs-jn-tlbnbhf" Type="http://schemas.openxmlformats.org/officeDocument/2006/relationships/hyperlink" Target="https://www.rj.gov.br/central/sites/default/files/arquivos_paginas/Procedimento%20para%20Elaboracao%20de%20Instrumentos%20Normativos%20v2.0.pd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ASSGER — Orientação para a padronização dos TEDs</dc:title>
  <dc:creator>ASSGER</dc:creator>
  <cp:lastModifiedBy>Un-named</cp:lastModifiedBy>
  <cp:revision>1</cp:revision>
  <dcterms:created xsi:type="dcterms:W3CDTF">2026-10-20T15:17:17.742Z</dcterms:created>
  <dcterms:modified xsi:type="dcterms:W3CDTF">2026-10-20T15:17:17.742Z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