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98C9" w14:textId="77777777" w:rsidR="008B1322" w:rsidRDefault="00841B6C">
      <w:pPr>
        <w:spacing w:before="600" w:after="60"/>
        <w:jc w:val="center"/>
      </w:pPr>
      <w:r>
        <w:rPr>
          <w:b/>
          <w:bCs/>
          <w:color w:val="1F3864"/>
          <w:spacing w:val="20"/>
          <w:sz w:val="26"/>
          <w:szCs w:val="26"/>
        </w:rPr>
        <w:t>GOVERNO DO ESTADO DO RIO DE JANEIRO</w:t>
      </w:r>
    </w:p>
    <w:p w14:paraId="0BD63176" w14:textId="77777777" w:rsidR="008B1322" w:rsidRDefault="00841B6C">
      <w:pPr>
        <w:jc w:val="center"/>
      </w:pPr>
      <w:r>
        <w:rPr>
          <w:color w:val="595959"/>
        </w:rPr>
        <w:t xml:space="preserve">Companhia Estadual de Engenharia de Transportes e Logística – CENTRAL</w:t>
      </w:r>
    </w:p>
    <w:p w14:paraId="3334388F" w14:textId="77777777" w:rsidR="008B1322" w:rsidRDefault="008B1322">
      <w:pPr>
        <w:pBdr>
          <w:bottom w:val="single" w:sz="12" w:space="1" w:color="1F3864"/>
        </w:pBdr>
        <w:spacing w:before="2600"/>
      </w:pPr>
    </w:p>
    <w:p w14:paraId="756AA4BB" w14:textId="77777777" w:rsidR="008B1322" w:rsidRDefault="00841B6C">
      <w:pPr>
        <w:spacing w:before="360" w:after="120"/>
        <w:jc w:val="center"/>
      </w:pPr>
      <w:r>
        <w:rPr>
          <w:b/>
          <w:bCs/>
          <w:color w:val="1F3864"/>
          <w:sz w:val="44"/>
          <w:szCs w:val="44"/>
        </w:rPr>
        <w:t>RELATÓRIO DE TRANSIÇÃO DE GESTÃO</w:t>
      </w:r>
    </w:p>
    <w:p w14:paraId="173E9186" w14:textId="77777777" w:rsidR="008B1322" w:rsidRDefault="00841B6C">
      <w:pPr>
        <w:spacing w:after="360"/>
        <w:jc w:val="center"/>
      </w:pPr>
      <w:r>
        <w:rPr>
          <w:color w:val="595959"/>
          <w:sz w:val="26"/>
          <w:szCs w:val="26"/>
        </w:rPr>
        <w:t xml:space="preserve">Contribuição da ASSGER: quadro de riscos da Assessoria de Governança, Riscos e Compliance</w:t>
      </w:r>
    </w:p>
    <w:p w14:paraId="56617142" w14:textId="77777777" w:rsidR="008B1322" w:rsidRDefault="008B1322">
      <w:pPr>
        <w:pBdr>
          <w:top w:val="single" w:sz="12" w:space="1" w:color="1F3864"/>
        </w:pBdr>
      </w:pPr>
    </w:p>
    <w:p w14:paraId="7342D7ED" w14:textId="77777777" w:rsidR="008B1322" w:rsidRDefault="00841B6C">
      <w:pPr>
        <w:spacing w:before="240" w:after="60"/>
        <w:jc w:val="center"/>
      </w:pPr>
      <w:r>
        <w:t xml:space="preserve">Informações posicionadas em </w:t>
      </w:r>
      <w:r>
        <w:rPr/>
        <w:t xml:space="preserve">28 de outubro de 2026</w:t>
      </w:r>
    </w:p>
    <w:p w14:paraId="66628EF7" w14:textId="77777777" w:rsidR="008B1322" w:rsidRDefault="00841B6C">
      <w:pPr>
        <w:spacing w:after="1400"/>
        <w:jc w:val="center"/>
      </w:pPr>
      <w:r>
        <w:rPr>
          <w:i/>
          <w:iCs/>
          <w:color w:val="595959"/>
          <w:sz w:val="20"/>
          <w:szCs w:val="20"/>
        </w:rPr>
        <w:t xml:space="preserve">Versão preliminar</w:t>
      </w:r>
    </w:p>
    <w:tbl>
      <w:tblPr>
        <w:tblW w:w="68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</w:tblGrid>
      <w:tr w:rsidR="008B1322" w14:paraId="6A4F9DCA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37AE9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Órgão responsável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F2D09" w14:textId="77777777" w:rsidR="008B1322" w:rsidRDefault="00841B6C">
            <w:r>
              <w:rPr>
                <w:sz w:val="18"/>
                <w:szCs w:val="18"/>
              </w:rPr>
              <w:t xml:space="preserve">CENTRAL – Assessoria de Governança, Riscos e Compliance (ASSGER)</w:t>
            </w:r>
          </w:p>
        </w:tc>
      </w:tr>
      <w:tr w:rsidR="008B1322" w14:paraId="52E531E4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54167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Elaboração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AB8ED" w14:textId="77777777" w:rsidR="008B1322" w:rsidRDefault="00841B6C">
            <w:r>
              <w:rPr>
                <w:sz w:val="18"/>
                <w:szCs w:val="18"/>
              </w:rPr>
              <w:t xml:space="preserve">ASSGER</w:t>
            </w:r>
          </w:p>
        </w:tc>
      </w:tr>
      <w:tr w:rsidR="008B1322" w14:paraId="0981DE58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7D0D8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Data de referência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C037" w14:textId="77777777" w:rsidR="008B1322" w:rsidRDefault="00841B6C">
            <w:r>
              <w:rPr>
                <w:sz w:val="18"/>
                <w:szCs w:val="18"/>
              </w:rPr>
              <w:t xml:space="preserve">28/10/2026</w:t>
            </w:r>
          </w:p>
        </w:tc>
      </w:tr>
      <w:tr w:rsidR="008B1322" w14:paraId="4F57C457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B79B5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Versão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9073F" w14:textId="77777777" w:rsidR="008B1322" w:rsidRDefault="00841B6C">
            <w:r>
              <w:rPr>
                <w:sz w:val="18"/>
                <w:szCs w:val="18"/>
              </w:rPr>
              <w:t xml:space="preserve">Versão 1.0 – 28/10/2026</w:t>
            </w:r>
          </w:p>
        </w:tc>
      </w:tr>
      <w:tr w:rsidR="008B1322" w14:paraId="65030944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4303E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Classificação de acesso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BB748" w14:textId="77777777" w:rsidR="008B1322" w:rsidRDefault="00841B6C">
            <w:r>
              <w:rPr>
                <w:sz w:val="18"/>
                <w:szCs w:val="18"/>
              </w:rPr>
              <w:t xml:space="preserve">Restrita (documento interno)</w:t>
            </w:r>
          </w:p>
        </w:tc>
      </w:tr>
    </w:tbl>
    <w:p w14:paraId="408753D0" w14:textId="77777777" w:rsidR="008B1322" w:rsidRDefault="00841B6C">
      <w:pPr>
        <w:spacing w:before="1200"/>
        <w:jc w:val="center"/>
      </w:pPr>
      <w:r>
        <w:rPr>
          <w:color w:val="595959"/>
          <w:sz w:val="20"/>
          <w:szCs w:val="20"/>
        </w:rPr>
        <w:t xml:space="preserve">Rio de Janeiro – </w:t>
      </w:r>
      <w:r>
        <w:rPr>
          <w:color w:val="595959"/>
          <w:sz w:val="20"/>
          <w:szCs w:val="20"/>
        </w:rPr>
        <w:t xml:space="preserve">2026</w:t>
      </w:r>
    </w:p>
    <w:p w14:paraId="36FC94BE" w14:textId="77777777" w:rsidR="008B1322" w:rsidRDefault="00841B6C">
      <w:pPr>
        <w:pStyle w:val="Ttulo1"/>
        <w:pageBreakBefore/>
      </w:pPr>
      <w:bookmarkStart w:id="7" w:name="_Toc900007"/>
      <w:r>
        <w:lastRenderedPageBreak/>
        <w:t>2. PAINEL DE SITUAÇÃO</w:t>
      </w:r>
      <w:bookmarkEnd w:id="7"/>
    </w:p>
    <w:p w14:paraId="2DEDE294" w14:textId="77777777" w:rsidR="008B1322" w:rsidRDefault="00841B6C">
      <w:pPr>
        <w:pStyle w:val="Ttulo2"/>
      </w:pPr>
      <w:bookmarkStart w:id="8" w:name="_Toc900008"/>
      <w:r>
        <w:t>2.1 Pendências e próximos marcos</w:t>
      </w:r>
      <w:bookmarkEnd w:id="8"/>
    </w:p>
    <w:p w14:paraId="1A1A0FC6" w14:textId="77777777" w:rsidR="008B1322" w:rsidRDefault="00841B6C">
      <w:pPr>
        <w:keepNext/>
        <w:spacing w:after="120" w:line="276" w:lineRule="auto"/>
        <w:jc w:val="both"/>
      </w:pPr>
      <w:r>
        <w:t>O quadro resume a situação de todos os itens acompanhados, na ordem em que aparecem no relatório. Recomenda-se especial atenção aos prazos que vencem nos primeiros 90 dias da nova gestão.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50"/>
        <w:gridCol w:w="2721"/>
        <w:gridCol w:w="1500"/>
        <w:gridCol w:w="800"/>
      </w:tblGrid>
      <w:tr w:rsidR="008B1322" w14:paraId="0336EBD4" w14:textId="77777777"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BE7C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6EC99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272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6B7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Próximo marco / prazo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9C14A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91BAA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Seção</w:t>
            </w:r>
          </w:p>
        </w:tc>
      </w:tr>
      <w:tr w:rsidR="008B1322" w14:paraId="1FA4F0A0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1D7CA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Conformidade normativa – Programa de Governança e Saneamento Normativo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4DED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AGUARDANDO DIREXE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8372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Aprovação do Programa pela DIREXE; contratação da ferramenta de IA (data a definir)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7A1C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[SEI do Programa, a informar]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6923D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00297FE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FE20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Integridade – DDI e Background Check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EC6FD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EM ANDAMENTO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4A45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Contratação da solução de DDI e Background Check até 01/06/2027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15B92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SEI-100006/000861/2026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2D246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4.5.2</w:t>
            </w:r>
          </w:p>
        </w:tc>
      </w:tr>
      <w:tr w:rsidR="008B1322" w14:paraId="4DEEFA2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7F4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Transparência ativa no site institucional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0BB5" w14:textId="77777777" w:rsidR="008B1322" w:rsidRDefault="00841B6C">
            <w:pPr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AÇÃO PENDENTE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2EE1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Plano de ação e atualização do site: 60 dias a contar de 28/10/2026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542FF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[SEI do relatório, se houver]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0B87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4.5.3</w:t>
            </w:r>
          </w:p>
        </w:tc>
      </w:tr>
    </w:tbl>
    <w:p w14:paraId="6400A321" w14:textId="77777777" w:rsidR="008B1322" w:rsidRDefault="00841B6C">
      <w:pPr>
        <w:pStyle w:val="Ttulo2"/>
      </w:pPr>
      <w:bookmarkStart w:id="9" w:name="_Toc900009"/>
      <w:r>
        <w:t>2.2 Entregas concluídas</w:t>
      </w:r>
      <w:bookmarkEnd w:id="9"/>
    </w:p>
    <w:p w14:paraId="077F22D3" w14:textId="77777777" w:rsidR="008B1322" w:rsidRDefault="00841B6C">
      <w:pPr>
        <w:keepNext/>
        <w:spacing w:after="120" w:line="276" w:lineRule="auto"/>
        <w:jc w:val="both"/>
      </w:pPr>
      <w:r>
        <w:t>Para fins de memória institucional, registram-se as entregas já concluídas: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71"/>
        <w:gridCol w:w="1300"/>
        <w:gridCol w:w="1100"/>
      </w:tblGrid>
      <w:tr w:rsidR="008B1322" w14:paraId="16AEDC79" w14:textId="77777777"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7B977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407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2E8A4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3B05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02457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Seção</w:t>
            </w:r>
          </w:p>
        </w:tc>
      </w:tr>
      <w:tr w:rsidR="008B1322" w14:paraId="2CBCAB3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CD0A5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Metodologia de Avaliação de Conformidade Normativa (v2.0)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D16B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Metodologia elaborada pela ASSGER, com hierarquia normativa, tipos de teste e matriz de risco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57D5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junho/2026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C53EF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08C2D463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9AC6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Avaliação de conformidade do Estatuto Social (Etapa 1)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B7B71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13 achados identificados: 1 crítico e 12 com ressalva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B6BE6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  <w:highlight w:val="yellow"/>
              </w:rPr>
              <w:t xml:space="preserve">[dd/mm/aaaa]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4C31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2CBCAB3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CD0A5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Relatório de avaliação da transparência no site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D16B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52 requisitos avaliados: 23 atendidos e 29 com pendência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57D5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09/10/2026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C53EF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4.5.3</w:t>
            </w:r>
          </w:p>
        </w:tc>
      </w:tr>
    </w:tbl>
    <w:p w14:paraId="355A929D" w14:textId="77777777" w:rsidR="008B1322" w:rsidRDefault="00841B6C">
      <w:pPr>
        <w:pStyle w:val="Ttulo2"/>
      </w:pPr>
      <w:bookmarkStart w:id="10" w:name="_Toc900010"/>
      <w:r>
        <w:t>2.3 Agenda de prazos críticos</w:t>
      </w:r>
      <w:bookmarkEnd w:id="10"/>
    </w:p>
    <w:p w14:paraId="6EB750CC" w14:textId="77777777" w:rsidR="008B1322" w:rsidRDefault="00841B6C">
      <w:pPr>
        <w:keepNext/>
        <w:spacing w:after="120" w:line="276" w:lineRule="auto"/>
        <w:jc w:val="both"/>
      </w:pPr>
      <w:r>
        <w:t>Prazos legais, contratuais ou de controle com data certa nos primeiros 90 dias da nova gestão, em ordem cronológica:</w:t>
      </w:r>
    </w:p>
    <w:p w14:paraId="6EB750CC" w14:textId="77777777" w:rsidR="008B1322" w:rsidRDefault="00841B6C">
      <w:pPr>
        <w:keepNext/>
        <w:spacing w:after="120" w:line="276" w:lineRule="auto"/>
        <w:jc w:val="both"/>
      </w:pPr>
      <w:r>
        <w:t xml:space="preserve">Não há itens a registrar.</w:t>
      </w:r>
    </w:p>
    <w:p w14:paraId="1D43E1D4" w14:textId="77777777" w:rsidR="008B1322" w:rsidRDefault="00841B6C">
      <w:pPr>
        <w:pStyle w:val="Ttulo1"/>
        <w:pageBreakBefore/>
      </w:pPr>
      <w:bookmarkStart w:id="15" w:name="_Toc900015"/>
      <w:r>
        <w:lastRenderedPageBreak/>
        <w:t>4. GESTÃO ADMINISTRATIVA, CONTRATOS E CONVÊNIOS</w:t>
      </w:r>
      <w:bookmarkEnd w:id="15"/>
    </w:p>
    <w:p w14:paraId="503B3916" w14:textId="77777777" w:rsidR="008B1322" w:rsidRDefault="00841B6C">
      <w:pPr>
        <w:spacing w:after="120" w:line="276" w:lineRule="auto"/>
        <w:jc w:val="both"/>
      </w:pPr>
      <w:r>
        <w:t>Reúne o orçamento e a execução financeira, os contratos e licitações, os convênios e parcerias, o patrimônio e a frota, os demais temas de gestão administrativa e o resultado da execução orçamentária por grupo de despesa.</w:t>
      </w:r>
    </w:p>
    <w:p w14:paraId="3E25311F" w14:textId="77777777" w:rsidR="008B1322" w:rsidRDefault="00841B6C">
      <w:pPr>
        <w:pStyle w:val="Ttulo2"/>
      </w:pPr>
      <w:bookmarkStart w:id="20" w:name="_Toc900020"/>
      <w:r>
        <w:t>4.5 Outros temas de gestão administrativa</w:t>
      </w:r>
      <w:bookmarkEnd w:id="20"/>
    </w:p>
    <w:p w14:paraId="33DA34F3" w14:textId="77777777" w:rsidR="008B1322" w:rsidRDefault="00841B6C">
      <w:pPr>
        <w:pStyle w:val="Ttulo3"/>
      </w:pPr>
      <w:r>
        <w:t xml:space="preserve">4.5.1 </w:t>
      </w:r>
      <w:r>
        <w:rPr/>
        <w:t xml:space="preserve">Conformidade normativa – Programa de Governança e Saneamento Normativo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AGUARDANDO DIREXE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Programa elaborado pela ASSGER em 2026 para sistematizar a conformidade dos 63 instrumentos normativos da CENTRAL. Faltam a aprovação da DIREXE e a contratação da ferramenta de Inteligência Artificial (Fase 0).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Normas internas (Estatuto, Regimento, políticas, RILC e POPs) desatualizadas, omissas ou em desacordo com a legislação superior e com a estrutura real da CENTRAL, sem avaliação sistemática do acervo.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2026: elaboração do Programa e da Metodologia de Avaliação de Conformidade Normativa (v2.0, junho/2026); avaliação do Estatuto Social (13 achados); análises dos POPs de contratação; proposta de novo Regimento Interno (02/10/2026).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Aprovação do Programa pela DIREXE; contratação da ferramenta de IA, com parecer da ASSJUR; diagnóstico em cerca de 43 semanas após a contratação; achados críticos tratados em até 30 dias. Prazo condicionado à contratação da ferramenta.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Insegurança jurídica, com normas contraditórias, sobrepostas ou omissas; risco de nulidade de atos e deliberações; apontamentos de órgãos de controle e responsabilização de dirigentes. Risco avaliado como elevado (score 12: probabilidade 3 e impacto 4).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  <w:highlight w:val="yellow"/>
              </w:rPr>
              <w:t xml:space="preserve">[SEI do Programa, a informar]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 / ASSJUR / DIREXE</w:t>
            </w:r>
          </w:p>
        </w:tc>
      </w:tr>
    </w:tbl>
    <w:p w14:paraId="33DA34F3" w14:textId="77777777" w:rsidR="008B1322" w:rsidRDefault="00841B6C">
      <w:pPr>
        <w:pStyle w:val="Ttulo3"/>
      </w:pPr>
      <w:r>
        <w:t xml:space="preserve">4.5.2 </w:t>
      </w:r>
      <w:r>
        <w:rPr/>
        <w:t xml:space="preserve">Integridade – DDI e Background Check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EM ANDAMENTO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Planejamento da contratação de solução SaaS de Due Diligence de Integridade e Background Check. A ASSGER já fez benchmarking e preparou minutas técnicas; falta concluir a contratação.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Diligências de integridade de fornecedores e partes interessadas feitas manualmente, com consultas a fontes abertas e certidões, sem ferramenta especializada para cruzamento de dados, identificação de vínculos e classificação estruturada do risco.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 ASSGER realiza a DDI nos processos encaminhados pela área de licitações, com relatório e recomendações. Benchmarking, pesquisa de soluções e minutas técnicas elaborados para subsidiar o planejamento da contratação.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Dar prosseguimento à contratação (prazo: 01/06/2027); formalizar a metodologia de DDI; compatibilizar o POP e o novo RILC; capacitar os usuários e criar rotina de registro e acompanhamento das diligências.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Contratações com riscos de integridade não identificados; questionamento de órgãos de controle; exposição reputacional; retenção de processos se for exigida classificação de risco sem os recursos necessários. Risco elevado (score 16: probabilidade 4 e impacto 4).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SEI-100006/000861/2026 (planejamento da contratação); SEI-100006/001717/2020 (revisão do RILC); POP-CENTRAL-008.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</w:t>
            </w:r>
          </w:p>
        </w:tc>
      </w:tr>
    </w:tbl>
    <w:p w14:paraId="33DA34F3" w14:textId="77777777" w:rsidR="008B1322" w:rsidRDefault="00841B6C">
      <w:pPr>
        <w:pStyle w:val="Ttulo3"/>
      </w:pPr>
      <w:r>
        <w:t xml:space="preserve">4.5.3 </w:t>
      </w:r>
      <w:r>
        <w:rPr/>
        <w:t xml:space="preserve">Transparência ativa no site institucional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AÇÃO PENDENTE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 relatório de avaliação do site (09/10/2026) analisou 52 requisitos: 23 atendidos e 29 com pendência (atendidos parcialmente, desatualizados, não atendidos ou não localizados).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Informações ausentes, incompletas ou desatualizadas no site institucional (Decreto Estadual nº 46.475/2018, Lei nº 13.303/2016 e Lei nº 13.460/2017) e POP-CENTRAL-016 desatualizado, sem rotina periódica de atualização.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09/10/2026: relatório de avaliação da transparência no site, com a providência sugerida para cada requisito.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Transformar o relatório em plano de ação, com responsável e prazo por item; atualizar o POP-CENTRAL-016; criar rotina mensal de conferência e publicação. Prazo: 60 dias a contar de 28/10/2026.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Apontamentos de órgãos de controle e questionamentos da Equipe de Transição; descumprimento da Lei de Acesso à Informação e da Lei das Estatais; responsabilização de dirigentes e dano à imagem. Risco elevado (score 12: probabilidade 4 e impacto 3).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  <w:highlight w:val="yellow"/>
              </w:rPr>
              <w:t xml:space="preserve">[SEI do relatório, se houver]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 / ASSTAD e áreas responsáveis pelo conteúdo</w:t>
            </w:r>
          </w:p>
        </w:tc>
      </w:tr>
    </w:tbl>
    <w:p w14:paraId="236BC013" w14:textId="77777777" w:rsidR="008B1322" w:rsidRDefault="00841B6C">
      <w:pPr>
        <w:pStyle w:val="Ttulo1"/>
        <w:pageBreakBefore/>
      </w:pPr>
      <w:bookmarkStart w:id="38" w:name="_Toc900038"/>
      <w:r>
        <w:lastRenderedPageBreak/>
        <w:t>9. PONTOS FOCAIS E RESPONSÁVEIS PELAS INFORMAÇÕES</w:t>
      </w:r>
      <w:bookmarkEnd w:id="38"/>
    </w:p>
    <w:p w14:paraId="77B44D46" w14:textId="77777777" w:rsidR="008B1322" w:rsidRDefault="00841B6C">
      <w:pPr>
        <w:keepNext/>
        <w:spacing w:after="120" w:line="276" w:lineRule="auto"/>
        <w:jc w:val="both"/>
      </w:pPr>
      <w:r>
        <w:t>Servidores de referência para esclarecimentos durante a transição: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2571"/>
        <w:gridCol w:w="2200"/>
      </w:tblGrid>
      <w:tr w:rsidR="008B1322" w14:paraId="0DB569D5" w14:textId="77777777">
        <w:trPr>
          <w:cantSplit/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5755B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418DE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Unidade responsável</w:t>
            </w:r>
          </w:p>
        </w:tc>
        <w:tc>
          <w:tcPr>
            <w:tcW w:w="257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B03AC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Ponto focal (nome e cargo)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89D3F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Contato</w:t>
            </w:r>
          </w:p>
        </w:tc>
      </w:tr>
      <w:tr w:rsidR="008B1322" w14:paraId="7317C0EF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AC2F9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>4. Gestão administrativa, contratos e convênios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6B5F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ASSGER</w:t>
            </w:r>
          </w:p>
        </w:tc>
        <w:tc>
          <w:tcPr>
            <w:tcW w:w="2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02AC3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  <w:highlight w:val="yellow"/>
              </w:rPr>
              <w:t>[Nome e cargo]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546BE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  <w:highlight w:val="yellow"/>
              </w:rPr>
              <w:t>[E-mail institucional e telefone]</w:t>
            </w:r>
          </w:p>
        </w:tc>
      </w:tr>
    </w:tbl>
    <w:p w14:paraId="3E700E5E" w14:textId="77777777" w:rsidR="008B1322" w:rsidRDefault="00841B6C">
      <w:pPr>
        <w:spacing w:before="720"/>
        <w:jc w:val="right"/>
      </w:pPr>
      <w:r>
        <w:t xml:space="preserve">Rio de Janeiro, 28 de outubro de 2026.</w:t>
      </w:r>
    </w:p>
    <w:p w14:paraId="6BE40C6E" w14:textId="77777777" w:rsidR="008B1322" w:rsidRDefault="00841B6C">
      <w:pPr>
        <w:pBdr>
          <w:top w:val="single" w:sz="6" w:space="4" w:color="262626"/>
        </w:pBdr>
        <w:spacing w:before="1000"/>
        <w:ind w:left="2300" w:right="2300"/>
        <w:jc w:val="center"/>
      </w:pPr>
      <w:r>
        <w:rPr>
          <w:b/>
          <w:bCs/>
          <w:highlight w:val="yellow"/>
        </w:rPr>
        <w:t>[Nome]</w:t>
      </w:r>
    </w:p>
    <w:p w14:paraId="26BDC176" w14:textId="77777777" w:rsidR="008B1322" w:rsidRDefault="00841B6C">
      <w:pPr>
        <w:jc w:val="center"/>
      </w:pPr>
      <w:r>
        <w:rPr>
          <w:sz w:val="20"/>
          <w:szCs w:val="20"/>
          <w:highlight w:val="yellow"/>
        </w:rPr>
        <w:t>[Cargo]</w:t>
      </w:r>
    </w:p>
    <w:p w14:paraId="58B39C1D" w14:textId="77777777" w:rsidR="008B1322" w:rsidRDefault="00841B6C">
      <w:pPr>
        <w:spacing w:before="360"/>
        <w:jc w:val="center"/>
      </w:pPr>
      <w:r>
        <w:rPr>
          <w:color w:val="595959"/>
          <w:sz w:val="20"/>
          <w:szCs w:val="20"/>
        </w:rPr>
        <w:t xml:space="preserve">Elaboração e consolidação: </w:t>
      </w:r>
      <w:r>
        <w:rPr>
          <w:color w:val="595959"/>
          <w:sz w:val="20"/>
          <w:szCs w:val="20"/>
        </w:rPr>
        <w:t xml:space="preserve">ASSGER – Assessoria de Governança, Riscos e Compliance</w:t>
      </w:r>
    </w:p>
    <w:sectPr w:rsidR="008B132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134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60F5E" w14:textId="77777777" w:rsidR="00CA1704" w:rsidRDefault="00CA1704">
      <w:r>
        <w:separator/>
      </w:r>
    </w:p>
  </w:endnote>
  <w:endnote w:type="continuationSeparator" w:id="0">
    <w:p w14:paraId="7F8B694B" w14:textId="77777777" w:rsidR="00CA1704" w:rsidRDefault="00CA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7367D7" w14:textId="77777777" w:rsidR="008B1322" w:rsidRDefault="00841B6C">
    <w:pPr>
      <w:tabs>
        <w:tab w:val="right" w:pos="9071"/>
      </w:tabs>
    </w:pPr>
    <w:r>
      <w:rPr>
        <w:color w:val="595959"/>
        <w:sz w:val="15"/>
        <w:szCs w:val="15"/>
      </w:rPr>
      <w:t xml:space="preserve">Informações posicionadas em </w:t>
    </w:r>
    <w:r>
      <w:rPr>
        <w:color w:val="595959"/>
        <w:sz w:val="15"/>
        <w:szCs w:val="15"/>
      </w:rPr>
      <w:t xml:space="preserve">28/10/2026</w:t>
    </w:r>
    <w:r>
      <w:rPr>
        <w:color w:val="595959"/>
        <w:sz w:val="15"/>
        <w:szCs w:val="15"/>
      </w:rPr>
      <w:tab/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 xml:space="preserve"> PAGE </w:instrText>
    </w:r>
    <w:r>
      <w:rPr>
        <w:color w:val="595959"/>
        <w:sz w:val="15"/>
        <w:szCs w:val="15"/>
      </w:rPr>
      <w:fldChar w:fldCharType="separate"/>
    </w:r>
    <w:r w:rsidR="001F1B42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 xml:space="preserve"> NUMPAGES </w:instrText>
    </w:r>
    <w:r>
      <w:rPr>
        <w:color w:val="595959"/>
        <w:sz w:val="15"/>
        <w:szCs w:val="15"/>
      </w:rPr>
      <w:fldChar w:fldCharType="separate"/>
    </w:r>
    <w:r w:rsidR="001F1B42">
      <w:rPr>
        <w:noProof/>
        <w:color w:val="595959"/>
        <w:sz w:val="15"/>
        <w:szCs w:val="15"/>
      </w:rPr>
      <w:t>21</w:t>
    </w:r>
    <w:r>
      <w:rPr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372F64" w14:textId="77777777" w:rsidR="008B1322" w:rsidRDefault="008B132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3ACC22" w14:textId="77777777" w:rsidR="00CA1704" w:rsidRDefault="00CA1704">
      <w:r>
        <w:separator/>
      </w:r>
    </w:p>
  </w:footnote>
  <w:footnote w:type="continuationSeparator" w:id="0">
    <w:p w14:paraId="6EE6FB04" w14:textId="77777777" w:rsidR="00CA1704" w:rsidRDefault="00CA1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783D4A" w14:textId="77777777" w:rsidR="008B1322" w:rsidRDefault="00841B6C">
    <w:pPr>
      <w:pBdr>
        <w:bottom w:val="single" w:sz="6" w:space="4" w:color="1F3864"/>
      </w:pBdr>
      <w:tabs>
        <w:tab w:val="right" w:pos="9071"/>
      </w:tabs>
    </w:pPr>
    <w:r>
      <w:rPr>
        <w:b/>
        <w:bCs/>
        <w:color w:val="1F3864"/>
        <w:sz w:val="15"/>
        <w:szCs w:val="15"/>
      </w:rPr>
      <w:t>GOVERNO DO ESTADO DO RIO DE JANEIRO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Relatório de Transição de Gestão – </w:t>
    </w:r>
    <w:r>
      <w:rPr>
        <w:color w:val="595959"/>
        <w:sz w:val="15"/>
        <w:szCs w:val="15"/>
      </w:rPr>
      <w:t xml:space="preserve">CENTRAL – ASSGER (SETRAM)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B556F" w14:textId="77777777" w:rsidR="008B1322" w:rsidRDefault="008B13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7E1566"/>
    <w:multiLevelType w:val="hybridMultilevel"/>
    <w:tmpl w:val="4FD40DCE"/>
    <w:lvl w:ilvl="0" w:tplc="D6D6562A">
      <w:start w:val="1"/>
      <w:numFmt w:val="bullet"/>
      <w:lvlText w:val="●"/>
      <w:lvlJc w:val="left"/>
      <w:pPr>
        <w:ind w:left="720" w:hanging="360"/>
      </w:pPr>
    </w:lvl>
    <w:lvl w:ilvl="1" w:tplc="F102A296">
      <w:start w:val="1"/>
      <w:numFmt w:val="bullet"/>
      <w:lvlText w:val="○"/>
      <w:lvlJc w:val="left"/>
      <w:pPr>
        <w:ind w:left="1440" w:hanging="360"/>
      </w:pPr>
    </w:lvl>
    <w:lvl w:ilvl="2" w:tplc="DFD69776">
      <w:start w:val="1"/>
      <w:numFmt w:val="bullet"/>
      <w:lvlText w:val="■"/>
      <w:lvlJc w:val="left"/>
      <w:pPr>
        <w:ind w:left="2160" w:hanging="360"/>
      </w:pPr>
    </w:lvl>
    <w:lvl w:ilvl="3" w:tplc="37367FF2">
      <w:start w:val="1"/>
      <w:numFmt w:val="bullet"/>
      <w:lvlText w:val="●"/>
      <w:lvlJc w:val="left"/>
      <w:pPr>
        <w:ind w:left="2880" w:hanging="360"/>
      </w:pPr>
    </w:lvl>
    <w:lvl w:ilvl="4" w:tplc="EA08B374">
      <w:start w:val="1"/>
      <w:numFmt w:val="bullet"/>
      <w:lvlText w:val="○"/>
      <w:lvlJc w:val="left"/>
      <w:pPr>
        <w:ind w:left="3600" w:hanging="360"/>
      </w:pPr>
    </w:lvl>
    <w:lvl w:ilvl="5" w:tplc="087030F6">
      <w:start w:val="1"/>
      <w:numFmt w:val="bullet"/>
      <w:lvlText w:val="■"/>
      <w:lvlJc w:val="left"/>
      <w:pPr>
        <w:ind w:left="4320" w:hanging="360"/>
      </w:pPr>
    </w:lvl>
    <w:lvl w:ilvl="6" w:tplc="A37C4894">
      <w:start w:val="1"/>
      <w:numFmt w:val="bullet"/>
      <w:lvlText w:val="●"/>
      <w:lvlJc w:val="left"/>
      <w:pPr>
        <w:ind w:left="5040" w:hanging="360"/>
      </w:pPr>
    </w:lvl>
    <w:lvl w:ilvl="7" w:tplc="BDB426AA">
      <w:start w:val="1"/>
      <w:numFmt w:val="bullet"/>
      <w:lvlText w:val="●"/>
      <w:lvlJc w:val="left"/>
      <w:pPr>
        <w:ind w:left="5760" w:hanging="360"/>
      </w:pPr>
    </w:lvl>
    <w:lvl w:ilvl="8" w:tplc="8F8440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63697"/>
    <w:multiLevelType w:val="hybridMultilevel"/>
    <w:tmpl w:val="1DFCB774"/>
    <w:lvl w:ilvl="0" w:tplc="91B66D88">
      <w:start w:val="1"/>
      <w:numFmt w:val="bullet"/>
      <w:lvlText w:val="•"/>
      <w:lvlJc w:val="left"/>
      <w:pPr>
        <w:ind w:left="360" w:hanging="240"/>
      </w:pPr>
      <w:rPr>
        <w:color w:val="1F3864"/>
      </w:rPr>
    </w:lvl>
    <w:lvl w:ilvl="1" w:tplc="769EFF74">
      <w:numFmt w:val="decimal"/>
      <w:lvlText w:val=""/>
      <w:lvlJc w:val="left"/>
    </w:lvl>
    <w:lvl w:ilvl="2" w:tplc="927ADF4E">
      <w:numFmt w:val="decimal"/>
      <w:lvlText w:val=""/>
      <w:lvlJc w:val="left"/>
    </w:lvl>
    <w:lvl w:ilvl="3" w:tplc="31EECF2C">
      <w:numFmt w:val="decimal"/>
      <w:lvlText w:val=""/>
      <w:lvlJc w:val="left"/>
    </w:lvl>
    <w:lvl w:ilvl="4" w:tplc="5EC41D02">
      <w:numFmt w:val="decimal"/>
      <w:lvlText w:val=""/>
      <w:lvlJc w:val="left"/>
    </w:lvl>
    <w:lvl w:ilvl="5" w:tplc="3C2A9862">
      <w:numFmt w:val="decimal"/>
      <w:lvlText w:val=""/>
      <w:lvlJc w:val="left"/>
    </w:lvl>
    <w:lvl w:ilvl="6" w:tplc="95ECE8A6">
      <w:numFmt w:val="decimal"/>
      <w:lvlText w:val=""/>
      <w:lvlJc w:val="left"/>
    </w:lvl>
    <w:lvl w:ilvl="7" w:tplc="A7C4AC98">
      <w:numFmt w:val="decimal"/>
      <w:lvlText w:val=""/>
      <w:lvlJc w:val="left"/>
    </w:lvl>
    <w:lvl w:ilvl="8" w:tplc="C2A48B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22"/>
    <w:rsid w:val="001F1B42"/>
    <w:rsid w:val="00361D35"/>
    <w:rsid w:val="00380726"/>
    <w:rsid w:val="0051534F"/>
    <w:rsid w:val="005E4F29"/>
    <w:rsid w:val="00651866"/>
    <w:rsid w:val="00687583"/>
    <w:rsid w:val="00841B6C"/>
    <w:rsid w:val="008B1322"/>
    <w:rsid w:val="00A26404"/>
    <w:rsid w:val="00C7317A"/>
    <w:rsid w:val="00CA1704"/>
    <w:rsid w:val="00D768F4"/>
    <w:rsid w:val="00E10DA7"/>
    <w:rsid w:val="00E9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1B88"/>
  <w15:docId w15:val="{FC1AF471-2624-4EA8-98B9-267E08DD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62626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D35"/>
  </w:style>
  <w:style w:type="paragraph" w:styleId="Ttulo1">
    <w:name w:val="heading 1"/>
    <w:uiPriority w:val="9"/>
    <w:qFormat/>
    <w:pPr>
      <w:keepNext/>
      <w:pBdr>
        <w:bottom w:val="single" w:sz="12" w:space="4" w:color="1F3864"/>
      </w:pBdr>
      <w:spacing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pPr>
      <w:tabs>
        <w:tab w:val="right" w:leader="dot" w:pos="9071"/>
      </w:tabs>
      <w:spacing w:before="90" w:after="20"/>
    </w:pPr>
    <w:rPr>
      <w:b/>
      <w:bCs/>
      <w:color w:val="1F3864"/>
      <w:sz w:val="20"/>
      <w:szCs w:val="20"/>
    </w:rPr>
  </w:style>
  <w:style w:type="paragraph" w:styleId="Sumrio2">
    <w:name w:val="toc 2"/>
    <w:pPr>
      <w:tabs>
        <w:tab w:val="right" w:leader="dot" w:pos="9071"/>
      </w:tabs>
      <w:spacing w:after="10"/>
      <w:ind w:left="36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5826</Words>
  <Characters>31463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Transição de Gestão – modelo padronizado</vt:lpstr>
    </vt:vector>
  </TitlesOfParts>
  <Company/>
  <LinksUpToDate>false</LinksUpToDate>
  <CharactersWithSpaces>37215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Transição de Gestão – modelo padronizado</dc:title>
  <dc:creator>Governo do Estado do Rio de Janeiro</dc:creator>
  <dc:description>Modelo único para as Secretarias de Estado, com orientações de preenchimento</dc:description>
  <cp:lastModifiedBy>Clarice Amaral Paiva</cp:lastModifiedBy>
  <cp:revision>2</cp:revision>
  <dcterms:created xsi:type="dcterms:W3CDTF">2026-10-28T18:24:00Z</dcterms:created>
  <dcterms:modified xsi:type="dcterms:W3CDTF">2026-10-28T18:24:00Z</dcterms:modified>
</cp:coreProperties>
</file>