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3498C9" w14:textId="77777777" w:rsidR="008B1322" w:rsidRDefault="00841B6C">
      <w:pPr>
        <w:spacing w:before="600" w:after="60"/>
        <w:jc w:val="center"/>
      </w:pPr>
      <w:r>
        <w:rPr>
          <w:b/>
          <w:bCs/>
          <w:color w:val="1F3864"/>
          <w:spacing w:val="20"/>
          <w:sz w:val="26"/>
          <w:szCs w:val="26"/>
        </w:rPr>
        <w:t>GOVERNO DO ESTADO DO RIO DE JANEIRO</w:t>
      </w:r>
    </w:p>
    <w:p w14:paraId="0BD63176" w14:textId="77777777" w:rsidR="008B1322" w:rsidRDefault="00841B6C">
      <w:pPr>
        <w:jc w:val="center"/>
      </w:pPr>
      <w:r>
        <w:rPr>
          <w:color w:val="595959"/>
        </w:rPr>
        <w:t xml:space="preserve">Companhia Estadual de Engenharia de Transportes e Logística – CENTRAL</w:t>
      </w:r>
    </w:p>
    <w:p w14:paraId="3334388F" w14:textId="77777777" w:rsidR="008B1322" w:rsidRDefault="008B1322">
      <w:pPr>
        <w:pBdr>
          <w:bottom w:val="single" w:sz="12" w:space="1" w:color="1F3864"/>
        </w:pBdr>
        <w:spacing w:before="2600"/>
      </w:pPr>
    </w:p>
    <w:p w14:paraId="756AA4BB" w14:textId="77777777" w:rsidR="008B1322" w:rsidRDefault="00841B6C">
      <w:pPr>
        <w:spacing w:before="360" w:after="120"/>
        <w:jc w:val="center"/>
      </w:pPr>
      <w:r>
        <w:rPr>
          <w:b/>
          <w:bCs/>
          <w:color w:val="1F3864"/>
          <w:sz w:val="44"/>
          <w:szCs w:val="44"/>
        </w:rPr>
        <w:t>RELATÓRIO DE TRANSIÇÃO DE GESTÃO</w:t>
      </w:r>
    </w:p>
    <w:p w14:paraId="173E9186" w14:textId="77777777" w:rsidR="008B1322" w:rsidRDefault="00841B6C">
      <w:pPr>
        <w:spacing w:after="360"/>
        <w:jc w:val="center"/>
      </w:pPr>
      <w:r>
        <w:rPr>
          <w:color w:val="595959"/>
          <w:sz w:val="26"/>
          <w:szCs w:val="26"/>
        </w:rPr>
        <w:t xml:space="preserve">Contribuição da ASSGER: estrutura organizacional e quadro de riscos</w:t>
      </w:r>
    </w:p>
    <w:p w14:paraId="56617142" w14:textId="77777777" w:rsidR="008B1322" w:rsidRDefault="008B1322">
      <w:pPr>
        <w:pBdr>
          <w:top w:val="single" w:sz="12" w:space="1" w:color="1F3864"/>
        </w:pBdr>
      </w:pPr>
    </w:p>
    <w:p w14:paraId="7342D7ED" w14:textId="77777777" w:rsidR="008B1322" w:rsidRDefault="00841B6C">
      <w:pPr>
        <w:spacing w:before="240" w:after="60"/>
        <w:jc w:val="center"/>
      </w:pPr>
      <w:r>
        <w:t xml:space="preserve">Informações posicionadas em </w:t>
      </w:r>
      <w:r>
        <w:rPr/>
        <w:t xml:space="preserve">28 de outubro de 2026</w:t>
      </w:r>
    </w:p>
    <w:p w14:paraId="66628EF7" w14:textId="77777777" w:rsidR="008B1322" w:rsidRDefault="00841B6C">
      <w:pPr>
        <w:spacing w:after="1400"/>
        <w:jc w:val="center"/>
      </w:pPr>
      <w:r>
        <w:rPr>
          <w:i/>
          <w:iCs/>
          <w:color w:val="595959"/>
          <w:sz w:val="20"/>
          <w:szCs w:val="20"/>
        </w:rPr>
        <w:t xml:space="preserve">Versão preliminar</w:t>
      </w:r>
    </w:p>
    <w:tbl>
      <w:tblPr>
        <w:tblW w:w="68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</w:tblGrid>
      <w:tr w:rsidR="008B1322" w14:paraId="6A4F9DCA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37AE9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Órgão responsável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F2D09" w14:textId="77777777" w:rsidR="008B1322" w:rsidRDefault="00841B6C">
            <w:r>
              <w:rPr>
                <w:sz w:val="18"/>
                <w:szCs w:val="18"/>
              </w:rPr>
              <w:t xml:space="preserve">CENTRAL – Assessoria de Governança, Riscos e Compliance (ASSGER)</w:t>
            </w:r>
          </w:p>
        </w:tc>
      </w:tr>
      <w:tr w:rsidR="008B1322" w14:paraId="52E531E4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54167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Elaboração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AB8ED" w14:textId="77777777" w:rsidR="008B1322" w:rsidRDefault="00841B6C">
            <w:r>
              <w:rPr>
                <w:sz w:val="18"/>
                <w:szCs w:val="18"/>
              </w:rPr>
              <w:t xml:space="preserve">ASSGER</w:t>
            </w:r>
          </w:p>
        </w:tc>
      </w:tr>
      <w:tr w:rsidR="008B1322" w14:paraId="0981DE58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7D0D8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Data de referência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3C037" w14:textId="77777777" w:rsidR="008B1322" w:rsidRDefault="00841B6C">
            <w:r>
              <w:rPr>
                <w:sz w:val="18"/>
                <w:szCs w:val="18"/>
              </w:rPr>
              <w:t xml:space="preserve">28/10/2026</w:t>
            </w:r>
          </w:p>
        </w:tc>
      </w:tr>
      <w:tr w:rsidR="008B1322" w14:paraId="4F57C457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B79B5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Versão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9073F" w14:textId="77777777" w:rsidR="008B1322" w:rsidRDefault="00841B6C">
            <w:r>
              <w:rPr>
                <w:sz w:val="18"/>
                <w:szCs w:val="18"/>
              </w:rPr>
              <w:t xml:space="preserve">Versão 1.0 – 28/10/2026</w:t>
            </w:r>
          </w:p>
        </w:tc>
      </w:tr>
      <w:tr w:rsidR="008B1322" w14:paraId="65030944" w14:textId="77777777">
        <w:trPr>
          <w:jc w:val="center"/>
        </w:trPr>
        <w:tc>
          <w:tcPr>
            <w:tcW w:w="260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4303E" w14:textId="77777777" w:rsidR="008B1322" w:rsidRDefault="00841B6C">
            <w:r>
              <w:rPr>
                <w:b/>
                <w:bCs/>
                <w:color w:val="1F3864"/>
                <w:sz w:val="18"/>
                <w:szCs w:val="18"/>
              </w:rPr>
              <w:t>Classificação de acesso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BB748" w14:textId="77777777" w:rsidR="008B1322" w:rsidRDefault="00841B6C">
            <w:r>
              <w:rPr>
                <w:sz w:val="18"/>
                <w:szCs w:val="18"/>
              </w:rPr>
              <w:t xml:space="preserve">Restrita (documento interno)</w:t>
            </w:r>
          </w:p>
        </w:tc>
      </w:tr>
    </w:tbl>
    <w:p w14:paraId="408753D0" w14:textId="77777777" w:rsidR="008B1322" w:rsidRDefault="00841B6C">
      <w:pPr>
        <w:spacing w:before="1200"/>
        <w:jc w:val="center"/>
      </w:pPr>
      <w:r>
        <w:rPr>
          <w:color w:val="595959"/>
          <w:sz w:val="20"/>
          <w:szCs w:val="20"/>
        </w:rPr>
        <w:t xml:space="preserve">Rio de Janeiro – </w:t>
      </w:r>
      <w:r>
        <w:rPr>
          <w:color w:val="595959"/>
          <w:sz w:val="20"/>
          <w:szCs w:val="20"/>
        </w:rPr>
        <w:t xml:space="preserve">2026</w:t>
      </w:r>
    </w:p>
    <w:p w14:paraId="11E8E2B1" w14:textId="77777777" w:rsidR="008B1322" w:rsidRDefault="00841B6C">
      <w:pPr>
        <w:pStyle w:val="Ttulo1"/>
        <w:pageBreakBefore/>
      </w:pPr>
      <w:bookmarkStart w:id="2" w:name="_Toc900002"/>
      <w:r>
        <w:lastRenderedPageBreak/>
        <w:t>1. APRESENTAÇÃO</w:t>
      </w:r>
      <w:bookmarkEnd w:id="2"/>
    </w:p>
    <w:p w14:paraId="663ADA7B" w14:textId="77777777" w:rsidR="008B1322" w:rsidRDefault="00841B6C">
      <w:pPr>
        <w:pStyle w:val="Ttulo2"/>
      </w:pPr>
      <w:bookmarkStart w:id="3" w:name="_Toc900003"/>
      <w:r>
        <w:t>1.1 Objetivo</w:t>
      </w:r>
      <w:bookmarkEnd w:id="3"/>
    </w:p>
    <w:p w14:paraId="7ADC9C3D" w14:textId="77777777" w:rsidR="008B1322" w:rsidRDefault="00841B6C">
      <w:pPr>
        <w:spacing w:after="120" w:line="276" w:lineRule="auto"/>
        <w:jc w:val="both"/>
      </w:pPr>
      <w:r>
        <w:t xml:space="preserve">Este relatório consolida as informações necessárias à transição de gestão no âmbito da CENTRAL, no que compete à ASSGER: a estrutura organizacional, as competências, os dirigentes e os pontos focais (item 1 do Ofício nº 02/2026 da Equipe de Transição) e o quadro de riscos (item 7), bem como as pendências que demandam decisão ou acompanhamento da nova gestão.</w:t>
      </w:r>
    </w:p>
    <w:p w14:paraId="7C62BE27" w14:textId="77777777" w:rsidR="008B1322" w:rsidRDefault="00841B6C">
      <w:pPr>
        <w:pStyle w:val="Ttulo2"/>
      </w:pPr>
      <w:bookmarkStart w:id="4" w:name="_Toc900004"/>
      <w:r>
        <w:t>1.2 Escopo, fontes e data de referência</w:t>
      </w:r>
      <w:bookmarkEnd w:id="4"/>
    </w:p>
    <w:p w14:paraId="7325D0E1" w14:textId="77777777" w:rsidR="008B1322" w:rsidRDefault="00841B6C">
      <w:pPr>
        <w:spacing w:after="120" w:line="276" w:lineRule="auto"/>
        <w:jc w:val="both"/>
      </w:pPr>
      <w:r>
        <w:t xml:space="preserve">As informações têm como data de referência 28/10/2026 e abrangem a Companhia Estadual de Engenharia de Transportes e Logística (CENTRAL), vinculada à SETRAM. Foram consolidadas a partir do Estatuto Social, do Regimento Interno (2024, em atualização, processo SEI-100006/000240/2022), da Resolução do Conselho de Administração nº 01/2026, da Ata da 283ª Reunião Ordinária (08/09/2026), do relatório de avaliação da transparência do site (09/10/2026) e do Programa de Governança e Saneamento Normativo da ASSGER. A estrutura organizacional segue a Resolução nº 01/2026; as competências, o Regimento Interno de 2024. Este relatório reúne as seções da responsabilidade da ASSGER (1, 2, 4.5, 5.1 e 9 e os anexos); as demais serão incluídas no relatório consolidado, com a mesma numeração.</w:t>
      </w:r>
    </w:p>
    <w:p w14:paraId="0CCB4B8A" w14:textId="77777777" w:rsidR="008B1322" w:rsidRDefault="00841B6C">
      <w:pPr>
        <w:pStyle w:val="Ttulo2"/>
      </w:pPr>
      <w:bookmarkStart w:id="5" w:name="_Toc900005"/>
      <w:r>
        <w:t>1.3 Perfil da Secretaria</w:t>
      </w:r>
      <w:bookmarkEnd w:id="5"/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0A925F16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DB416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Competências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2B0B9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Planejar, projetar e fiscalizar a construção e a implantação do sistema de transporte sobre trilhos ou guiados no Estado e executar as atividades conexas: estudos e atividades técnicas, conservação e reparação de equipamentos essenciais, implantação de sistemas de transportes e terminais de passageiros (Estatuto Social, art. 3º).</w:t>
            </w:r>
          </w:p>
        </w:tc>
      </w:tr>
      <w:tr w:rsidR="008B1322" w14:paraId="6538C981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6731C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Estrutura organizacional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AC1C8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Assembleia Geral, Conselho de Administração, Conselho Fiscal, Diretoria Executiva e quatro diretorias (Presidência, DIRPLA, DIREO e DIRAF), com superintendências, gerências e assessorias, conforme a Resolução do CONADM nº 01/2026, em vigor desde 01/10/2026. Ver 5.1.1 e Anexos I e II.</w:t>
            </w:r>
          </w:p>
        </w:tc>
      </w:tr>
      <w:tr w:rsidR="008B1322" w14:paraId="1CEF4A4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74E60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Entidades vinculadas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6A406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 CENTRAL é vinculada à SETRAM. Não há subsidiárias nem participações societárias identificadas. Vinculados ao Conselho de Administração: COMAUD, COMEL, COMISETI, COMISEINF, COMRISDP, COMESG, COMISPAC e Auditoria Interna (Regimento Interno, art. 2º, II a IV).</w:t>
            </w:r>
          </w:p>
        </w:tc>
      </w:tr>
      <w:tr w:rsidR="008B1322" w14:paraId="2FDC0D5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1664D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Principais serviços à população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E7004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  <w:highlight w:val="yellow"/>
              </w:rPr>
              <w:t>[Serviços e entregas mais relevantes, com volume de atendimentos, se houver.]</w:t>
            </w:r>
          </w:p>
        </w:tc>
      </w:tr>
      <w:tr w:rsidR="008B1322" w14:paraId="1585B8A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88BD0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Orçamento do exercício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86FCD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  <w:highlight w:val="yellow"/>
              </w:rPr>
              <w:t>[Dotação atualizada total; detalhar em 4.1.]</w:t>
            </w:r>
          </w:p>
        </w:tc>
      </w:tr>
      <w:tr w:rsidR="008B1322" w14:paraId="70367D50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9CCD0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Força de trabalho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21DB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  <w:highlight w:val="yellow"/>
              </w:rPr>
              <w:t>[Total de pessoas por vínculo; detalhar em 7.1.]</w:t>
            </w:r>
          </w:p>
        </w:tc>
      </w:tr>
    </w:tbl>
    <w:p w14:paraId="75724D16" w14:textId="77777777" w:rsidR="008B1322" w:rsidRDefault="00841B6C">
      <w:pPr>
        <w:pStyle w:val="Ttulo2"/>
      </w:pPr>
      <w:bookmarkStart w:id="6" w:name="_Toc900006"/>
      <w:r>
        <w:t>1.4 Como ler este relatório</w:t>
      </w:r>
      <w:bookmarkEnd w:id="6"/>
    </w:p>
    <w:p w14:paraId="3D044771" w14:textId="77777777" w:rsidR="008B1322" w:rsidRDefault="00841B6C">
      <w:pPr>
        <w:keepNext/>
        <w:spacing w:after="120" w:line="276" w:lineRule="auto"/>
        <w:jc w:val="both"/>
      </w:pPr>
      <w:r>
        <w:t>Cada item é apresentado em ficha padronizada, com situação atual, próximas etapas e prazos, referência processual e unidade responsável. A situação é indicada por uma das etiquetas abaixo: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8B1322" w14:paraId="0EBF758E" w14:textId="77777777">
        <w:trPr>
          <w:cantSplit/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59D07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6571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613B8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8B1322" w14:paraId="078B9B90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D77DD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375623"/>
                <w:sz w:val="16"/>
                <w:szCs w:val="16"/>
                <w:shd w:val="clear" w:color="auto" w:fill="E2EFDA"/>
              </w:rPr>
              <w:t> CONCLUÍDO 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C4ABA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8"/>
                <w:szCs w:val="18"/>
              </w:rPr>
              <w:t>Ação finalizada: instrumento assinado, ato publicado, obra ou serviço entregue.</w:t>
            </w:r>
          </w:p>
        </w:tc>
      </w:tr>
      <w:tr w:rsidR="008B1322" w14:paraId="1774ED0F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B9C90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1F4E79"/>
                <w:sz w:val="16"/>
                <w:szCs w:val="16"/>
                <w:shd w:val="clear" w:color="auto" w:fill="DDEBF7"/>
              </w:rPr>
              <w:t> EM ANDAMENTO 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1EB19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8"/>
                <w:szCs w:val="18"/>
              </w:rPr>
              <w:t>Em execução pela própria Secretaria, sem dependência de outro órgão.</w:t>
            </w:r>
          </w:p>
        </w:tc>
      </w:tr>
      <w:tr w:rsidR="008B1322" w14:paraId="367105CF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71D28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B2A6B"/>
                <w:sz w:val="16"/>
                <w:szCs w:val="16"/>
                <w:shd w:val="clear" w:color="auto" w:fill="E4DFEC"/>
              </w:rPr>
              <w:t> AGUARDANDO [ÓRGÃO] 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67706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8"/>
                <w:szCs w:val="18"/>
              </w:rPr>
              <w:t>Depende de manifestação ou decisão de outro órgão ou Poder, indicado na etiqueta (ex.: AGUARDANDO TCE-RJ, AGUARDANDO SEFAZ, AGUARDANDO GOVERNADOR).</w:t>
            </w:r>
          </w:p>
        </w:tc>
      </w:tr>
      <w:tr w:rsidR="008B1322" w14:paraId="268A27E6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8ADDE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9C0006"/>
                <w:sz w:val="16"/>
                <w:szCs w:val="16"/>
                <w:shd w:val="clear" w:color="auto" w:fill="F8D7D7"/>
              </w:rPr>
              <w:t> AÇÃO PENDENTE 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2E50E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8"/>
                <w:szCs w:val="18"/>
              </w:rPr>
              <w:t>Exige decisão ou providência da própria Secretaria para avançar.</w:t>
            </w:r>
          </w:p>
        </w:tc>
      </w:tr>
      <w:tr w:rsidR="008B1322" w14:paraId="6A14B1F9" w14:textId="77777777"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965EB" w14:textId="77777777" w:rsidR="008B1322" w:rsidRDefault="00841B6C">
            <w:pPr>
              <w:spacing w:after="30" w:line="252" w:lineRule="auto"/>
            </w:pPr>
            <w:r>
              <w:rPr>
                <w:b/>
                <w:bCs/>
                <w:color w:val="404040"/>
                <w:sz w:val="16"/>
                <w:szCs w:val="16"/>
                <w:shd w:val="clear" w:color="auto" w:fill="E7E6E6"/>
              </w:rPr>
              <w:t> A ESPECIFICAR 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7A729" w14:textId="77777777" w:rsidR="008B1322" w:rsidRDefault="00841B6C">
            <w:pPr>
              <w:spacing w:after="30" w:line="252" w:lineRule="auto"/>
            </w:pPr>
            <w:r>
              <w:rPr>
                <w:sz w:val="18"/>
                <w:szCs w:val="18"/>
              </w:rPr>
              <w:t>Informação ainda insuficiente; é preciso detalhar o objeto e a situação.</w:t>
            </w:r>
          </w:p>
        </w:tc>
      </w:tr>
    </w:tbl>
    <w:p w14:paraId="36FC94BE" w14:textId="77777777" w:rsidR="008B1322" w:rsidRDefault="00841B6C">
      <w:pPr>
        <w:pStyle w:val="Ttulo1"/>
        <w:pageBreakBefore/>
      </w:pPr>
      <w:bookmarkStart w:id="7" w:name="_Toc900007"/>
      <w:r>
        <w:lastRenderedPageBreak/>
        <w:t>2. PAINEL DE SITUAÇÃO</w:t>
      </w:r>
      <w:bookmarkEnd w:id="7"/>
    </w:p>
    <w:p w14:paraId="2DEDE294" w14:textId="77777777" w:rsidR="008B1322" w:rsidRDefault="00841B6C">
      <w:pPr>
        <w:pStyle w:val="Ttulo2"/>
      </w:pPr>
      <w:bookmarkStart w:id="8" w:name="_Toc900008"/>
      <w:r>
        <w:t>2.1 Pendências e próximos marcos</w:t>
      </w:r>
      <w:bookmarkEnd w:id="8"/>
    </w:p>
    <w:p w14:paraId="1A1A0FC6" w14:textId="77777777" w:rsidR="008B1322" w:rsidRDefault="00841B6C">
      <w:pPr>
        <w:keepNext/>
        <w:spacing w:after="120" w:line="276" w:lineRule="auto"/>
        <w:jc w:val="both"/>
      </w:pPr>
      <w:r>
        <w:t>O quadro resume a situação de todos os itens acompanhados, na ordem em que aparecem no relatório. Recomenda-se especial atenção aos prazos que vencem nos primeiros 90 dias da nova gestão.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50"/>
        <w:gridCol w:w="2721"/>
        <w:gridCol w:w="1500"/>
        <w:gridCol w:w="800"/>
      </w:tblGrid>
      <w:tr w:rsidR="008B1322" w14:paraId="0336EBD4" w14:textId="77777777"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BE7C2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5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6EC99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2721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F6B72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Próximo marco / prazo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9C14A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Processo</w:t>
            </w:r>
          </w:p>
        </w:tc>
        <w:tc>
          <w:tcPr>
            <w:tcW w:w="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91BAA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Seção</w:t>
            </w:r>
          </w:p>
        </w:tc>
      </w:tr>
      <w:tr w:rsidR="008B1322" w14:paraId="1FA4F0A0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1D7CA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Conformidade normativa – Programa de Governança e Saneamento Normativo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04DED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AGUARDANDO DIREXE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8372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Aprovação do Programa pela DIREXE; contratação da ferramenta de IA (data a definir)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17A1C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[SEI do Programa, a informar]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6923D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4.5.1</w:t>
            </w:r>
          </w:p>
        </w:tc>
      </w:tr>
      <w:tr w:rsidR="008B1322" w14:paraId="00297FEE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FE206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Integridade – DDI e Background Check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EC6FD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EM ANDAMENTO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4A456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Contratação da solução de DDI e Background Check até 01/06/2027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15B92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SEI-100006/000861/2026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2D246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4.5.2</w:t>
            </w:r>
          </w:p>
        </w:tc>
      </w:tr>
      <w:tr w:rsidR="008B1322" w14:paraId="4DEEFA2E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D7F4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Transparência ativa no site institucional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90BB5" w14:textId="77777777" w:rsidR="008B1322" w:rsidRDefault="00841B6C">
            <w:pPr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AÇÃO PENDENTE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2EE1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Plano de ação e atualização do site: 60 dias a contar de 28/10/2026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542FF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[SEI do relatório, se houver]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80B87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4.5.3</w:t>
            </w:r>
          </w:p>
        </w:tc>
      </w:tr>
      <w:tr w:rsidR="008B1322" w14:paraId="4DEEFA2E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D7F4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Nova estrutura organizacional (Resolução do CONADM nº 01/2026)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90BB5" w14:textId="77777777" w:rsidR="008B1322" w:rsidRDefault="00841B6C">
            <w:pPr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CONCLUÍDO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2EE1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Definição das atribuições das unidades criadas; Resoluções do CONADM a cargo da ASSTAD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542FF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SEI-100006/000919/2026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80B87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5.1.1</w:t>
            </w:r>
          </w:p>
        </w:tc>
      </w:tr>
      <w:tr w:rsidR="008B1322" w14:paraId="4DEEFA2E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D7F4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Atualização do Regimento Interno e da Política de Indicação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90BB5" w14:textId="77777777" w:rsidR="008B1322" w:rsidRDefault="00841B6C">
            <w:pPr>
              <w:spacing w:after="30" w:line="252" w:lineRule="auto"/>
            </w:pPr>
            <w:r>
              <w:rPr>
                <w:b/>
                <w:bCs/>
                <w:color w:val="404040"/>
                <w:sz w:val="15"/>
                <w:szCs w:val="15"/>
                <w:shd w:val="clear" w:color="auto" w:fill="E7E6E6"/>
              </w:rPr>
              <w:t xml:space="preserve"> EM ANDAMENTO 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2EE1A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Regimento atualizado à ASSJUR; Política de Indicação em 60 dias a contar de 08/09/2026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542FF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SEI-100006/000240/2022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80B87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5.1.2</w:t>
            </w:r>
          </w:p>
        </w:tc>
      </w:tr>
    </w:tbl>
    <w:p w14:paraId="6400A321" w14:textId="77777777" w:rsidR="008B1322" w:rsidRDefault="00841B6C">
      <w:pPr>
        <w:pStyle w:val="Ttulo2"/>
      </w:pPr>
      <w:bookmarkStart w:id="9" w:name="_Toc900009"/>
      <w:r>
        <w:t>2.2 Entregas concluídas</w:t>
      </w:r>
      <w:bookmarkEnd w:id="9"/>
    </w:p>
    <w:p w14:paraId="077F22D3" w14:textId="77777777" w:rsidR="008B1322" w:rsidRDefault="00841B6C">
      <w:pPr>
        <w:keepNext/>
        <w:spacing w:after="120" w:line="276" w:lineRule="auto"/>
        <w:jc w:val="both"/>
      </w:pPr>
      <w:r>
        <w:t>Para fins de memória institucional, registram-se as entregas já concluídas: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71"/>
        <w:gridCol w:w="1300"/>
        <w:gridCol w:w="1100"/>
      </w:tblGrid>
      <w:tr w:rsidR="008B1322" w14:paraId="16AEDC79" w14:textId="77777777"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7B977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  <w:tc>
          <w:tcPr>
            <w:tcW w:w="4071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2E8A4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3B052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02457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Seção</w:t>
            </w:r>
          </w:p>
        </w:tc>
      </w:tr>
      <w:tr w:rsidR="008B1322" w14:paraId="2CBCAB3A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CD0A5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Metodologia de Avaliação de Conformidade Normativa (v2.0)</w:t>
            </w:r>
          </w:p>
        </w:tc>
        <w:tc>
          <w:tcPr>
            <w:tcW w:w="40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D16B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Metodologia elaborada pela ASSGER, com hierarquia normativa, tipos de teste e matriz de risco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E57D5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junho/2026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C53EF" w14:textId="77777777" w:rsidR="008B1322" w:rsidRDefault="00841B6C">
            <w:pPr>
              <w:keepNext/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4.5.1</w:t>
            </w:r>
          </w:p>
        </w:tc>
      </w:tr>
      <w:tr w:rsidR="008B1322" w14:paraId="08C2D463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19AC6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Avaliação de conformidade do Estatuto Social (Etapa 1)</w:t>
            </w:r>
          </w:p>
        </w:tc>
        <w:tc>
          <w:tcPr>
            <w:tcW w:w="40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B7B71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13 achados identificados: 1 crítico e 12 com ressalva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B6BE6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[dd/mm/aaaa]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74C31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4.5.1</w:t>
            </w:r>
          </w:p>
        </w:tc>
      </w:tr>
      <w:tr w:rsidR="008B1322" w14:paraId="08C2D463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19AC6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Relatório de avaliação da transparência no site</w:t>
            </w:r>
          </w:p>
        </w:tc>
        <w:tc>
          <w:tcPr>
            <w:tcW w:w="40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B7B71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52 requisitos avaliados: 23 atendidos e 29 com pendência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B6BE6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09/10/2026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74C31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4.5.3</w:t>
            </w:r>
          </w:p>
        </w:tc>
      </w:tr>
      <w:tr w:rsidR="008B1322" w14:paraId="08C2D463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19AC6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Nova estrutura organizacional da CENTRAL</w:t>
            </w:r>
          </w:p>
        </w:tc>
        <w:tc>
          <w:tcPr>
            <w:tcW w:w="40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B7B71" w14:textId="77777777" w:rsidR="008B1322" w:rsidRDefault="00841B6C">
            <w:pPr>
              <w:spacing w:after="30" w:line="252" w:lineRule="auto"/>
            </w:pPr>
            <w:r>
              <w:rPr>
                <w:sz w:val="17"/>
                <w:szCs w:val="17"/>
              </w:rPr>
              <w:t xml:space="preserve">Resolução do CONADM nº 01/2026 aprovada, com vigência a partir de 01/10/2026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B6BE6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08/09/2026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74C31" w14:textId="77777777" w:rsidR="008B1322" w:rsidRDefault="00841B6C">
            <w:pPr>
              <w:spacing w:after="30" w:line="252" w:lineRule="auto"/>
              <w:jc w:val="center"/>
            </w:pPr>
            <w:r>
              <w:rPr>
                <w:sz w:val="17"/>
                <w:szCs w:val="17"/>
              </w:rPr>
              <w:t xml:space="preserve">5.1.1</w:t>
            </w:r>
          </w:p>
        </w:tc>
      </w:tr>
    </w:tbl>
    <w:p w14:paraId="355A929D" w14:textId="77777777" w:rsidR="008B1322" w:rsidRDefault="00841B6C">
      <w:pPr>
        <w:pStyle w:val="Ttulo2"/>
      </w:pPr>
      <w:bookmarkStart w:id="10" w:name="_Toc900010"/>
      <w:r>
        <w:t>2.3 Agenda de prazos críticos</w:t>
      </w:r>
      <w:bookmarkEnd w:id="10"/>
    </w:p>
    <w:p w14:paraId="6EB750CC" w14:textId="77777777" w:rsidR="008B1322" w:rsidRDefault="00841B6C">
      <w:pPr>
        <w:keepNext/>
        <w:spacing w:after="120" w:line="276" w:lineRule="auto"/>
        <w:jc w:val="both"/>
      </w:pPr>
      <w:r>
        <w:t>Prazos legais, contratuais ou de controle com data certa nos primeiros 90 dias da nova gestão, em ordem cronológica:</w:t>
      </w:r>
    </w:p>
    <w:p w14:paraId="6EB750CC" w14:textId="77777777" w:rsidR="008B1322" w:rsidRDefault="00841B6C">
      <w:pPr>
        <w:keepNext/>
        <w:spacing w:after="120" w:line="276" w:lineRule="auto"/>
        <w:jc w:val="both"/>
      </w:pPr>
      <w:r>
        <w:t xml:space="preserve">Não há itens a registrar.</w:t>
      </w:r>
    </w:p>
    <w:p w14:paraId="1D43E1D4" w14:textId="77777777" w:rsidR="008B1322" w:rsidRDefault="00841B6C">
      <w:pPr>
        <w:pStyle w:val="Ttulo1"/>
        <w:pageBreakBefore/>
      </w:pPr>
      <w:bookmarkStart w:id="15" w:name="_Toc900015"/>
      <w:r>
        <w:lastRenderedPageBreak/>
        <w:t>4. GESTÃO ADMINISTRATIVA, CONTRATOS E CONVÊNIOS</w:t>
      </w:r>
      <w:bookmarkEnd w:id="15"/>
    </w:p>
    <w:p w14:paraId="503B3916" w14:textId="77777777" w:rsidR="008B1322" w:rsidRDefault="00841B6C">
      <w:pPr>
        <w:spacing w:after="120" w:line="276" w:lineRule="auto"/>
        <w:jc w:val="both"/>
      </w:pPr>
      <w:r>
        <w:t>Reúne o orçamento e a execução financeira, os contratos e licitações, os convênios e parcerias, o patrimônio e a frota, os demais temas de gestão administrativa e o resultado da execução orçamentária por grupo de despesa.</w:t>
      </w:r>
    </w:p>
    <w:p w14:paraId="3E25311F" w14:textId="77777777" w:rsidR="008B1322" w:rsidRDefault="00841B6C">
      <w:pPr>
        <w:pStyle w:val="Ttulo2"/>
      </w:pPr>
      <w:bookmarkStart w:id="20" w:name="_Toc900020"/>
      <w:r>
        <w:t>4.5 Outros temas de gestão administrativa</w:t>
      </w:r>
      <w:bookmarkEnd w:id="20"/>
    </w:p>
    <w:p w14:paraId="33DA34F3" w14:textId="77777777" w:rsidR="008B1322" w:rsidRDefault="00841B6C">
      <w:pPr>
        <w:pStyle w:val="Ttulo3"/>
      </w:pPr>
      <w:r>
        <w:t xml:space="preserve">4.5.1 </w:t>
      </w:r>
      <w:r>
        <w:rPr/>
        <w:t xml:space="preserve">Conformidade normativa – Programa de Governança e Saneamento Normativo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5B363974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E1B14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AF1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AGUARDANDO DIREXE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Programa elaborado pela ASSGER em 2026 para sistematizar a conformidade dos 63 instrumentos normativos da CENTRAL. Faltam a aprovação da DIREXE e a contratação da ferramenta de Inteligência Artificial (Fase 0).</w:t>
            </w:r>
          </w:p>
        </w:tc>
      </w:tr>
      <w:tr w:rsidR="008B1322" w14:paraId="4B6FA70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F0E8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Problema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BEFD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Normas internas (Estatuto, Regimento, políticas, RILC e POPs) desatualizadas, omissas ou em desacordo com a legislação superior e com a estrutura real da CENTRAL, sem avaliação sistemática do acervo.</w:t>
            </w:r>
          </w:p>
        </w:tc>
      </w:tr>
      <w:tr w:rsidR="008B1322" w14:paraId="77351E7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8B84D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Histórico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313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2026: elaboração do Programa e da Metodologia de Avaliação de Conformidade Normativa (v2.0, junho/2026); avaliação do Estatuto Social (13 achados); análises dos POPs de contratação; proposta de novo Regimento Interno (02/10/2026).</w:t>
            </w:r>
          </w:p>
        </w:tc>
      </w:tr>
      <w:tr w:rsidR="008B1322" w14:paraId="133E389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6F4D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315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Aprovação do Programa pela DIREXE; contratação da ferramenta de IA, com parecer da ASSJUR; diagnóstico em cerca de 43 semanas após a contratação; achados críticos tratados em até 30 dias. Prazo condicionado à contratação da ferramenta. Quadro de riscos completo no Anexo III.</w:t>
            </w:r>
          </w:p>
        </w:tc>
      </w:tr>
      <w:tr w:rsidR="008B1322" w14:paraId="16D5FE42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DCC1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Ponto crítico / Riscos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BD3B8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Insegurança jurídica, com normas contraditórias, sobrepostas ou omissas; risco de nulidade de atos e deliberações; apontamentos de órgãos de controle e responsabilização de dirigentes. Risco avaliado como elevado (score 12: probabilidade 3 e impacto 4).</w:t>
            </w:r>
          </w:p>
        </w:tc>
      </w:tr>
      <w:tr w:rsidR="008B1322" w14:paraId="45B7BC0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7D73C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TCE-RJ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8E78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  <w:highlight w:val="yellow"/>
              </w:rPr>
              <w:t xml:space="preserve">[SEI do Programa, a informar]</w:t>
            </w:r>
          </w:p>
        </w:tc>
      </w:tr>
      <w:tr w:rsidR="008B1322" w14:paraId="0375782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2E0A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F2C7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ASSGER / ASSJUR / DIREXE</w:t>
            </w:r>
          </w:p>
        </w:tc>
      </w:tr>
    </w:tbl>
    <w:p w14:paraId="33DA34F3" w14:textId="77777777" w:rsidR="008B1322" w:rsidRDefault="00841B6C">
      <w:pPr>
        <w:pStyle w:val="Ttulo3"/>
      </w:pPr>
      <w:r>
        <w:t xml:space="preserve">4.5.2 </w:t>
      </w:r>
      <w:r>
        <w:rPr/>
        <w:t xml:space="preserve">Integridade – DDI e Background Check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5B363974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E1B14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AF1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EM ANDAMENTO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Planejamento da contratação de solução SaaS de Due Diligence de Integridade e Background Check. A ASSGER já fez benchmarking e preparou minutas técnicas; falta concluir a contratação.</w:t>
            </w:r>
          </w:p>
        </w:tc>
      </w:tr>
      <w:tr w:rsidR="008B1322" w14:paraId="4B6FA70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F0E8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Problema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BEFD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Diligências de integridade de fornecedores e partes interessadas feitas manualmente, com consultas a fontes abertas e certidões, sem ferramenta especializada para cruzamento de dados, identificação de vínculos e classificação estruturada do risco.</w:t>
            </w:r>
          </w:p>
        </w:tc>
      </w:tr>
      <w:tr w:rsidR="008B1322" w14:paraId="77351E7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8B84D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Histórico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313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 ASSGER realiza a DDI nos processos encaminhados pela área de licitações, com relatório e recomendações. Benchmarking, pesquisa de soluções e minutas técnicas elaborados para subsidiar o planejamento da contratação.</w:t>
            </w:r>
          </w:p>
        </w:tc>
      </w:tr>
      <w:tr w:rsidR="008B1322" w14:paraId="133E389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6F4D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315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Dar prosseguimento à contratação (prazo: 01/06/2027); formalizar a metodologia de DDI; compatibilizar o POP e o novo RILC; capacitar os usuários e criar rotina de registro e acompanhamento das diligências. Quadro de riscos completo no Anexo III.</w:t>
            </w:r>
          </w:p>
        </w:tc>
      </w:tr>
      <w:tr w:rsidR="008B1322" w14:paraId="16D5FE42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DCC1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Ponto crítico / Riscos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BD3B8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Contratações com riscos de integridade não identificados; questionamento de órgãos de controle; exposição reputacional; retenção de processos se for exigida classificação de risco sem os recursos necessários. Risco elevado (score 16: probabilidade 4 e impacto 4).</w:t>
            </w:r>
          </w:p>
        </w:tc>
      </w:tr>
      <w:tr w:rsidR="008B1322" w14:paraId="45B7BC0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7D73C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TCE-RJ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8E78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SEI-100006/000861/2026 (planejamento da contratação); SEI-100006/001717/2020 (revisão do RILC); POP-CENTRAL-008.</w:t>
            </w:r>
          </w:p>
        </w:tc>
      </w:tr>
      <w:tr w:rsidR="008B1322" w14:paraId="0375782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2E0A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F2C7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ASSGER</w:t>
            </w:r>
          </w:p>
        </w:tc>
      </w:tr>
    </w:tbl>
    <w:p w14:paraId="33DA34F3" w14:textId="77777777" w:rsidR="008B1322" w:rsidRDefault="00841B6C">
      <w:pPr>
        <w:pStyle w:val="Ttulo3"/>
      </w:pPr>
      <w:r>
        <w:t xml:space="preserve">4.5.3 </w:t>
      </w:r>
      <w:r>
        <w:rPr/>
        <w:t xml:space="preserve">Transparência ativa no site institucional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5B363974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E1B14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AF1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AÇÃO PENDENTE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O relatório de avaliação do site (09/10/2026) analisou 52 requisitos: 23 atendidos e 29 com pendência (atendidos parcialmente, desatualizados, não atendidos ou não localizados).</w:t>
            </w:r>
          </w:p>
        </w:tc>
      </w:tr>
      <w:tr w:rsidR="008B1322" w14:paraId="4B6FA70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F0E8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Problema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BEFD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Informações ausentes, incompletas ou desatualizadas no site institucional (Decreto Estadual nº 46.475/2018, Lei nº 13.303/2016 e Lei nº 13.460/2017) e POP-CENTRAL-016 desatualizado, sem rotina periódica de atualização.</w:t>
            </w:r>
          </w:p>
        </w:tc>
      </w:tr>
      <w:tr w:rsidR="008B1322" w14:paraId="77351E7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8B84D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Histórico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313F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09/10/2026: relatório de avaliação da transparência no site, com a providência sugerida para cada requisito.</w:t>
            </w:r>
          </w:p>
        </w:tc>
      </w:tr>
      <w:tr w:rsidR="008B1322" w14:paraId="133E389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6F4D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315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Transformar o relatório em plano de ação, com responsável e prazo por item; atualizar o POP-CENTRAL-016; criar rotina mensal de conferência e publicação. Prazo: 60 dias a contar de 28/10/2026. Quadro de riscos completo no Anexo III.</w:t>
            </w:r>
          </w:p>
        </w:tc>
      </w:tr>
      <w:tr w:rsidR="008B1322" w14:paraId="16D5FE42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DCC1A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Ponto crítico / Riscos</w:t>
            </w:r>
            <w:r>
              <w:rPr>
                <w:color w:val="7F7F7F"/>
                <w:sz w:val="17"/>
                <w:szCs w:val="17"/>
              </w:rPr>
              <w:t xml:space="preserve"> (se houver)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BD3B8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Apontamentos de órgãos de controle e questionamentos da Equipe de Transição; descumprimento da Lei de Acesso à Informação e da Lei das Estatais; responsabilização de dirigentes e dano à imagem. Risco elevado (score 12: probabilidade 4 e impacto 3).</w:t>
            </w:r>
          </w:p>
        </w:tc>
      </w:tr>
      <w:tr w:rsidR="008B1322" w14:paraId="45B7BC0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7D73C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TCE-RJ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8E78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  <w:highlight w:val="yellow"/>
              </w:rPr>
              <w:t xml:space="preserve">[SEI do relatório, se houver]</w:t>
            </w:r>
          </w:p>
        </w:tc>
      </w:tr>
      <w:tr w:rsidR="008B1322" w14:paraId="0375782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2E0A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F2C7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ASSGER / ASSTAD e áreas responsáveis pelo conteúdo</w:t>
            </w:r>
          </w:p>
        </w:tc>
      </w:tr>
    </w:tbl>
    <w:p w14:paraId="091B66A4" w14:textId="77777777" w:rsidR="008B1322" w:rsidRDefault="00841B6C">
      <w:pPr>
        <w:pStyle w:val="Ttulo1"/>
        <w:pageBreakBefore/>
      </w:pPr>
      <w:bookmarkStart w:id="22" w:name="_Toc900022"/>
      <w:r>
        <w:lastRenderedPageBreak/>
        <w:t>5. ESTRUTURA INSTITUCIONAL E AGENDA LEGISLATIVA</w:t>
      </w:r>
      <w:bookmarkEnd w:id="22"/>
    </w:p>
    <w:p w14:paraId="7B3D5A4C" w14:textId="77777777" w:rsidR="008B1322" w:rsidRDefault="00841B6C">
      <w:pPr>
        <w:spacing w:after="120" w:line="276" w:lineRule="auto"/>
        <w:jc w:val="both"/>
      </w:pPr>
      <w:r>
        <w:t>Reúne os atos de organização institucional, as indicações de dirigentes e representantes ainda não formalizadas e os projetos de lei e propostas normativas de interesse da Secretaria.</w:t>
      </w:r>
    </w:p>
    <w:p w14:paraId="523AC324" w14:textId="77777777" w:rsidR="008B1322" w:rsidRDefault="00841B6C">
      <w:pPr>
        <w:pStyle w:val="Ttulo2"/>
      </w:pPr>
      <w:bookmarkStart w:id="23" w:name="_Toc900023"/>
      <w:r>
        <w:t>5.1 Estrutura organizacional e atos normativos</w:t>
      </w:r>
      <w:bookmarkEnd w:id="23"/>
    </w:p>
    <w:p w14:paraId="33DA34F3" w14:textId="77777777" w:rsidR="008B1322" w:rsidRDefault="00841B6C">
      <w:pPr>
        <w:pStyle w:val="Ttulo3"/>
      </w:pPr>
      <w:r>
        <w:t xml:space="preserve">5.1.1 </w:t>
      </w:r>
      <w:r>
        <w:rPr/>
        <w:t xml:space="preserve">Nova estrutura organizacional (Resolução do CONADM nº 01/2026)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3521998B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AB04F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A91A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CONCLUÍDO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Estrutura aprovada pelo Conselho de Administração em 08/09/2026 e em vigor desde 01/10/2026. Falta definir as atribuições das unidades criadas e atualizar o Regimento Interno (ver 5.1.2).</w:t>
            </w:r>
          </w:p>
        </w:tc>
      </w:tr>
      <w:tr w:rsidR="008B1322" w14:paraId="25F17AE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C2AFB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Objeto / Ementa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9D5F3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Aprova a estrutura organizacional da Companhia, a escala básica de funções gratificadas (131 funções na CENTRAL e 4 da liquidação da FLUMITRENS) e o quantitativo de funções por diretoria.</w:t>
            </w:r>
          </w:p>
        </w:tc>
      </w:tr>
      <w:tr w:rsidR="008B1322" w14:paraId="1BCA830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5EA62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Tipo e número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D76F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Resolução do Conselho de Administração nº 01, de 08/09/2026 (SEI nº 141008614), aprovada na 283ª Reunião Ordinária (Ata, SEI nº 141008584).</w:t>
            </w:r>
          </w:p>
        </w:tc>
      </w:tr>
      <w:tr w:rsidR="008B1322" w14:paraId="3887F13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18972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Efeitos e transição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2B574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Criação da Superintendência do Sistema de Bondes de Santa Teresa (SUPBON), com GERMAB e GEROPB, e da Superintendência do Sistema do Teleférico do Alemão (SUPTEL), com GERMTE e GEROTE. A SUPTRA, a GERMAT e a GEROPT não constam da nova estrutura. Estão na estrutura a Corregedoria, a ASSCOM e a ASSESMT, não previstas no Regimento de 2024. Segundo a Ata, a reestruturação não reduz salários, não destitui empregados efetivos nem aumenta a despesa com funções gratificadas.</w:t>
            </w:r>
          </w:p>
        </w:tc>
      </w:tr>
      <w:tr w:rsidR="008B1322" w14:paraId="6F8D14A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DAF29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58C1E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 ASSTAD elabora as Resoluções do CONADM correspondentes, para envio à área de Gestão de Pessoas; definição das atribuições das unidades criadas, ainda pendente.</w:t>
            </w:r>
          </w:p>
        </w:tc>
      </w:tr>
      <w:tr w:rsidR="008B1322" w14:paraId="25599440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EBFB0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C7537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SEI-100006/000919/2026 (proposta de reestruturação); SEI-100006/000002/2026 (referência da Resolução)</w:t>
            </w:r>
          </w:p>
        </w:tc>
      </w:tr>
      <w:tr w:rsidR="008B1322" w14:paraId="14382B56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929D9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7586E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ASSTAD / ASSGER / SUPGEP</w:t>
            </w:r>
          </w:p>
        </w:tc>
      </w:tr>
    </w:tbl>
    <w:p w14:paraId="33DA34F3" w14:textId="77777777" w:rsidR="008B1322" w:rsidRDefault="00841B6C">
      <w:pPr>
        <w:pStyle w:val="Ttulo3"/>
      </w:pPr>
      <w:r>
        <w:t xml:space="preserve">5.1.2 </w:t>
      </w:r>
      <w:r>
        <w:rPr/>
        <w:t xml:space="preserve">Atualização do Regimento Interno e da Política de Indicação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721"/>
      </w:tblGrid>
      <w:tr w:rsidR="008B1322" w14:paraId="3521998B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AB04F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Situação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A91A2" w14:textId="77777777" w:rsidR="008B1322" w:rsidRDefault="00841B6C">
            <w:pPr>
              <w:keepNext/>
              <w:spacing w:after="30" w:line="252" w:lineRule="auto"/>
            </w:pPr>
            <w:r>
              <w:rPr>
                <w:b/>
                <w:bCs/>
                <w:color w:val="404040"/>
                <w:sz w:val="17"/>
                <w:szCs w:val="17"/>
                <w:shd w:val="clear" w:color="auto" w:fill="E7E6E6"/>
              </w:rPr>
              <w:t xml:space="preserve"> EM ANDAMENTO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Proposta de novo Regimento Interno de 02/10/2026 em construção. O CONADM determinou, em 08/09/2026, a atualização imediata do Regimento e a apresentação da Política de Indicação em 60 dias.</w:t>
            </w:r>
          </w:p>
        </w:tc>
      </w:tr>
      <w:tr w:rsidR="008B1322" w14:paraId="25F17AEF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C2AFB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Objeto / Ementa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9D5F3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Atualizar o Regimento Interno de 2024 à nova estrutura e instituir a Política de Indicação dos Titulares de Funções Gratificadas, com critérios de idoneidade e elegibilidade para funções de confiança e cargos em comissão.</w:t>
            </w:r>
          </w:p>
        </w:tc>
      </w:tr>
      <w:tr w:rsidR="008B1322" w14:paraId="1BCA8308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5EA62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Tipo e número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D76FC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Regimento Interno (atualização) e Política de Indicação dos Titulares de Funções Gratificadas (nova); determinação da Ata da 283ª Reunião Ordinária do CONADM (SEI nº 141008584).</w:t>
            </w:r>
          </w:p>
        </w:tc>
      </w:tr>
      <w:tr w:rsidR="008B1322" w14:paraId="3887F137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18972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Efeitos e transição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2B574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Enquanto o Regimento não é atualizado, as competências das unidades criadas ou renomeadas não estão formalizadas.</w:t>
            </w:r>
          </w:p>
        </w:tc>
      </w:tr>
      <w:tr w:rsidR="008B1322" w14:paraId="6F8D14AA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DAF29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Próximas etapas e prazos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58C1E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A ASSGER providencia a atualização do Regimento e a submete à ASSJUR; apresentação da Política de Indicação em 60 dias a contar de 08/09/2026.</w:t>
            </w:r>
          </w:p>
        </w:tc>
      </w:tr>
      <w:tr w:rsidR="008B1322" w14:paraId="25599440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EBFB0" w14:textId="77777777" w:rsidR="008B1322" w:rsidRDefault="00841B6C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Processo SEI / outro procedimento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C7537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9"/>
                <w:szCs w:val="19"/>
              </w:rPr>
              <w:t xml:space="preserve">SEI-100006/000240/2022 (Regimento Interno)</w:t>
            </w:r>
          </w:p>
        </w:tc>
      </w:tr>
      <w:tr w:rsidR="008B1322" w14:paraId="14382B56" w14:textId="77777777">
        <w:trPr>
          <w:cantSplit/>
        </w:trPr>
        <w:tc>
          <w:tcPr>
            <w:tcW w:w="2350" w:type="dxa"/>
            <w:shd w:val="clear" w:color="auto" w:fill="EAF0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929D9" w14:textId="77777777" w:rsidR="008B1322" w:rsidRDefault="00841B6C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Responsável</w:t>
            </w:r>
          </w:p>
        </w:tc>
        <w:tc>
          <w:tcPr>
            <w:tcW w:w="67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7586E" w14:textId="77777777" w:rsidR="008B1322" w:rsidRDefault="00841B6C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ASSGER / ASSJUR / CONADM</w:t>
            </w:r>
          </w:p>
        </w:tc>
      </w:tr>
    </w:tbl>
    <w:p w14:paraId="236BC013" w14:textId="77777777" w:rsidR="008B1322" w:rsidRDefault="00841B6C">
      <w:pPr>
        <w:pStyle w:val="Ttulo1"/>
        <w:pageBreakBefore/>
      </w:pPr>
      <w:bookmarkStart w:id="38" w:name="_Toc900038"/>
      <w:r>
        <w:lastRenderedPageBreak/>
        <w:t>9. PONTOS FOCAIS E RESPONSÁVEIS PELAS INFORMAÇÕES</w:t>
      </w:r>
      <w:bookmarkEnd w:id="38"/>
    </w:p>
    <w:p w14:paraId="77B44D46" w14:textId="77777777" w:rsidR="008B1322" w:rsidRDefault="00841B6C">
      <w:pPr>
        <w:keepNext/>
        <w:spacing w:after="120" w:line="276" w:lineRule="auto"/>
        <w:jc w:val="both"/>
      </w:pPr>
      <w:r>
        <w:t>Servidores de referência para esclarecimentos durante a transição:</w:t>
      </w:r>
    </w:p>
    <w:tbl>
      <w:tblPr>
        <w:tblW w:w="907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2571"/>
        <w:gridCol w:w="2200"/>
      </w:tblGrid>
      <w:tr w:rsidR="008B1322" w14:paraId="0DB569D5" w14:textId="77777777">
        <w:trPr>
          <w:cantSplit/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5755B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418DE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Unidade responsável</w:t>
            </w:r>
          </w:p>
        </w:tc>
        <w:tc>
          <w:tcPr>
            <w:tcW w:w="2571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B03AC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Ponto focal (nome e cargo)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89D3F" w14:textId="77777777" w:rsidR="008B1322" w:rsidRDefault="00841B6C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Contato</w:t>
            </w:r>
          </w:p>
        </w:tc>
      </w:tr>
      <w:tr w:rsidR="008B1322" w14:paraId="7317C0EF" w14:textId="77777777">
        <w:trPr>
          <w:cantSplit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AC2F9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>4. Gestão administrativa, contratos e convênios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6B5F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ASSGER</w:t>
            </w:r>
          </w:p>
        </w:tc>
        <w:tc>
          <w:tcPr>
            <w:tcW w:w="2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02AC3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Clarice Paiva – </w:t>
            </w:r>
            <w:r>
              <w:rPr>
                <w:sz w:val="17"/>
                <w:szCs w:val="17"/>
                <w:highlight w:val="yellow"/>
              </w:rPr>
              <w:t xml:space="preserve">[cargo]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546BE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  <w:highlight w:val="yellow"/>
              </w:rPr>
              <w:t>[E-mail institucional e telefone]</w:t>
            </w:r>
          </w:p>
        </w:tc>
      </w:tr>
      <w:tr w:rsidR="008B1322" w14:paraId="492ACAC0" w14:textId="77777777">
        <w:trPr>
          <w:cantSplit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18FD3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>5. Estrutura institucional e agenda legislativa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78D5B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ASSGER</w:t>
            </w:r>
          </w:p>
        </w:tc>
        <w:tc>
          <w:tcPr>
            <w:tcW w:w="257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6D810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</w:rPr>
              <w:t xml:space="preserve">Clarice Paiva – </w:t>
            </w:r>
            <w:r>
              <w:rPr>
                <w:sz w:val="17"/>
                <w:szCs w:val="17"/>
                <w:highlight w:val="yellow"/>
              </w:rPr>
              <w:t xml:space="preserve">[cargo]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BCF41" w14:textId="77777777" w:rsidR="008B1322" w:rsidRDefault="00841B6C">
            <w:pPr>
              <w:keepNext/>
              <w:spacing w:after="30" w:line="252" w:lineRule="auto"/>
            </w:pPr>
            <w:r>
              <w:rPr>
                <w:sz w:val="17"/>
                <w:szCs w:val="17"/>
                <w:highlight w:val="yellow"/>
              </w:rPr>
              <w:t>[E-mail institucional e telefone]</w:t>
            </w:r>
          </w:p>
        </w:tc>
      </w:tr>
    </w:tbl>
    <w:p w14:paraId="3E700E5E" w14:textId="77777777" w:rsidR="008B1322" w:rsidRDefault="00841B6C">
      <w:pPr>
        <w:spacing w:before="720"/>
        <w:jc w:val="right"/>
      </w:pPr>
      <w:r>
        <w:t xml:space="preserve">Rio de Janeiro, 28 de outubro de 2026.</w:t>
      </w:r>
    </w:p>
    <w:p w14:paraId="6BE40C6E" w14:textId="77777777" w:rsidR="008B1322" w:rsidRDefault="00841B6C">
      <w:pPr>
        <w:pBdr>
          <w:top w:val="single" w:sz="6" w:space="4" w:color="262626"/>
        </w:pBdr>
        <w:spacing w:before="1000"/>
        <w:ind w:left="2300" w:right="2300"/>
        <w:jc w:val="center"/>
      </w:pPr>
      <w:r>
        <w:rPr>
          <w:b/>
          <w:bCs/>
          <w:highlight w:val="yellow"/>
        </w:rPr>
        <w:t>[Nome]</w:t>
      </w:r>
    </w:p>
    <w:p w14:paraId="26BDC176" w14:textId="77777777" w:rsidR="008B1322" w:rsidRDefault="00841B6C">
      <w:pPr>
        <w:jc w:val="center"/>
      </w:pPr>
      <w:r>
        <w:rPr>
          <w:sz w:val="20"/>
          <w:szCs w:val="20"/>
          <w:highlight w:val="yellow"/>
        </w:rPr>
        <w:t>[Cargo]</w:t>
      </w:r>
    </w:p>
    <w:p w14:paraId="58B39C1D" w14:textId="77777777" w:rsidR="008B1322" w:rsidRDefault="00841B6C">
      <w:pPr>
        <w:spacing w:before="360"/>
        <w:jc w:val="center"/>
      </w:pPr>
      <w:r>
        <w:rPr>
          <w:color w:val="595959"/>
          <w:sz w:val="20"/>
          <w:szCs w:val="20"/>
        </w:rPr>
        <w:t xml:space="preserve">Elaboração e consolidação: </w:t>
      </w:r>
      <w:r>
        <w:rPr>
          <w:color w:val="595959"/>
          <w:sz w:val="20"/>
          <w:szCs w:val="20"/>
        </w:rPr>
        <w:t xml:space="preserve">ASSGER – Assessoria de Governança, Riscos e Compliance</w:t>
      </w:r>
    </w:p>
    <w:p>
      <w:pPr>
        <w:sectPr w:rsidR="008B1322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17" w:right="1134" w:bottom="1134" w:left="1701" w:header="709" w:footer="567" w:gutter="0"/>
          <w:cols w:space="720"/>
          <w:titlePg/>
          <w:docGrid w:linePitch="360"/>
        </w:sectPr>
      </w:pPr>
    </w:p>
    <w:p w14:paraId="36FC94BE" w14:textId="77777777" w:rsidR="008B1322" w:rsidRDefault="00841B6C">
      <w:pPr>
        <w:pStyle w:val="Ttulo1"/>
        <w:pageBreakBefore/>
      </w:pPr>
      <w:r>
        <w:t xml:space="preserve">ANEXO I – ORGANOGRAMA DA CENTRAL</w:t>
      </w:r>
    </w:p>
    <w:p>
      <w:r>
        <w:rPr>
          <w:b w:val="0"/>
          <w:i w:val="0"/>
          <w:sz w:val="20"/>
        </w:rPr>
        <w:t>Estrutura organizacional conforme a Resolução do Conselho de Administração nº 01/2026, em vigor desde 01/10/2026.</w:t>
      </w:r>
    </w:p>
    <w:p w14:paraId="2DEDE294" w14:textId="77777777" w:rsidR="008B1322" w:rsidRDefault="00841B6C">
      <w:pPr>
        <w:pStyle w:val="Ttulo2"/>
      </w:pPr>
      <w:r>
        <w:t xml:space="preserve">I.1 Visão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000" cy="4537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000" cy="45379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EDE294" w14:textId="77777777" w:rsidR="008B1322" w:rsidRDefault="00841B6C">
      <w:pPr>
        <w:pStyle w:val="Ttulo2"/>
        <w:pageBreakBefore/>
      </w:pPr>
      <w:r>
        <w:t xml:space="preserve">I.2 Diretoria da Presidência (PRESI)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1905" cy="1770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pre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17708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EDE294" w14:textId="77777777" w:rsidR="008B1322" w:rsidRDefault="00841B6C">
      <w:pPr>
        <w:pStyle w:val="Ttulo2"/>
      </w:pPr>
      <w:r>
        <w:t xml:space="preserve">I.3 Diretoria de Administração e Finanças (DIRAF)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1905" cy="2821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dira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2821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EDE294" w14:textId="77777777" w:rsidR="008B1322" w:rsidRDefault="00841B6C">
      <w:pPr>
        <w:pStyle w:val="Ttulo2"/>
        <w:pageBreakBefore/>
      </w:pPr>
      <w:r>
        <w:t xml:space="preserve">I.4 Diretoria de Engenharia e Operação (DIREO)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1905" cy="3305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dire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330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 xml:space="preserve">Nota: </w:t>
      </w:r>
      <w:r>
        <w:rPr>
          <w:sz w:val="18"/>
        </w:rPr>
        <w:t>a Resolução do Conselho de Administração nº 01, de 08/09/2026 (SEI nº 141008614), aprovou a nova estrutura organizacional da CENTRAL, com vigência a partir de 01/10/2026. Nessa estrutura foram criadas a Superintendência do Sistema de Bondes de Santa Teresa (SUPBON), com as Gerências de Manutenção (GERMAB) e de Operação (GEROPB), e a Superintendência do Sistema do Teleférico do Alemão (SUPTEL), com as Gerências de Manutenção (GERMTE) e de Operação (GEROTE), em destaque no organograma. As atribuições dessas unidades ainda não foram definidas.</w:t>
      </w:r>
    </w:p>
    <w:p w14:paraId="2DEDE294" w14:textId="77777777" w:rsidR="008B1322" w:rsidRDefault="00841B6C">
      <w:pPr>
        <w:pStyle w:val="Ttulo2"/>
      </w:pPr>
      <w:r>
        <w:t xml:space="preserve">I.5 Diretoria de Planejamento (DIRPLA)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633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dirpl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633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FC94BE" w14:textId="77777777" w:rsidR="008B1322" w:rsidRDefault="00841B6C">
      <w:pPr>
        <w:pStyle w:val="Ttulo1"/>
        <w:pageBreakBefore/>
      </w:pPr>
      <w:r>
        <w:t xml:space="preserve">ANEXO II – UNIDADES, COMPETÊNCIAS, DIRIGENTES E PONTOS FOCAIS</w:t>
      </w:r>
    </w:p>
    <w:p>
      <w:r>
        <w:rPr>
          <w:b w:val="0"/>
          <w:i w:val="0"/>
          <w:color w:val="595959"/>
          <w:sz w:val="19"/>
        </w:rPr>
        <w:t>Competências resumidas do Regimento Interno; o texto integral está no artigo indicado na coluna Base.</w:t>
      </w:r>
    </w:p>
    <w:p>
      <w:r>
        <w:rPr>
          <w:b/>
          <w:sz w:val="18"/>
        </w:rPr>
        <w:t xml:space="preserve">Nota: </w:t>
      </w:r>
      <w:r>
        <w:rPr>
          <w:sz w:val="18"/>
        </w:rPr>
        <w:t>as unidades SUPBON, GERMAB, GEROPB, SUPTEL, GERMTE e GEROTE, criadas pela Resolução do Conselho de Administração nº 01/2026, não constam deste quadro porque suas atribuições ainda não foram definidas (ver nota no Anexo I). A SUPTRA, a GERMAT e a GEROPT não constam da estrutura aprovada por essa Resolução; seus textos refletem o Regimento Interno de 2024.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100"/>
        <w:gridCol w:w="2300"/>
        <w:gridCol w:w="1650"/>
        <w:gridCol w:w="5300"/>
        <w:gridCol w:w="850"/>
        <w:gridCol w:w="1550"/>
        <w:gridCol w:w="1253"/>
      </w:tblGrid>
      <w:tr>
        <w:trPr>
          <w:tblHeader/>
        </w:trPr>
        <w:tc>
          <w:tcPr>
            <w:tcW w:type="dxa" w:w="110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Sigla</w:t>
            </w:r>
          </w:p>
        </w:tc>
        <w:tc>
          <w:tcPr>
            <w:tcW w:type="dxa" w:w="230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Unidade</w:t>
            </w:r>
          </w:p>
        </w:tc>
        <w:tc>
          <w:tcPr>
            <w:tcW w:type="dxa" w:w="165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Subordinação</w:t>
            </w:r>
          </w:p>
        </w:tc>
        <w:tc>
          <w:tcPr>
            <w:tcW w:type="dxa" w:w="530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Competências principais (resumo do Regimento)</w:t>
            </w:r>
          </w:p>
        </w:tc>
        <w:tc>
          <w:tcPr>
            <w:tcW w:type="dxa" w:w="85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Base</w:t>
            </w:r>
          </w:p>
        </w:tc>
        <w:tc>
          <w:tcPr>
            <w:tcW w:type="dxa" w:w="155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Dirigente (nome / cargo)</w:t>
            </w:r>
          </w:p>
        </w:tc>
        <w:tc>
          <w:tcPr>
            <w:tcW w:type="dxa" w:w="1253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Ponto focal</w:t>
            </w:r>
          </w:p>
        </w:tc>
      </w:tr>
      <w:tr>
        <w:trPr>
          <w:cantSplit/>
        </w:trPr>
        <w:tc>
          <w:tcPr>
            <w:tcW w:type="dxa" w:w="14003"/>
            <w:gridSpan w:val="7"/>
            <w:shd w:val="clear" w:color="auto" w:fill="D9E2F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6"/>
              </w:rPr>
              <w:t>1. Órgãos superiores de deliberação colegiada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AG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Assembleia Geral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Delibera sobre transformação, fusão, cisão e dissolução; reforma do estatuto; eleição e destituição de conselheiros e membros do Comitê de Auditoria; remuneração dos administradores; contas e demonstrações financeiras do exercício; alienação de imóveis vinculados ao serviço.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3º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Acionistas da Companhia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CONADM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Assembleia Geral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Fixa a orientação geral dos negócios; elege e destitui a Diretoria Executiva; fiscaliza a gestão; aprova plano de negócios e estratégico, políticas (inclusive de riscos e conformidade), Regimento Interno e Regulamento de Licitações; nomeia o titular da Auditoria Interna; cria e elege os comitês de suporte.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4º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Egnaldo Carneiro da Silva Junior (Presidente do Conselho)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CONFIS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Fiscal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Assembleia Geral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Fiscaliza os atos dos administradores; opina sobre o relatório anual e as demonstrações financeiras; analisa balancetes trimestrais; examina o plano e o relatório de auditoria interna; acompanha a execução patrimonial, financeira e orçamentária.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5º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Diana Cabral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(Presidente do Conselho)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DIREXE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Executiva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Gere as atividades da Companhia e avalia resultados; monitora riscos estratégicos e sustentabilidade; prepara os assuntos para o Conselho; apresenta o plano de negócios e a estratégia de longo prazo; submete a estrutura organizacional ao Conselho; elabora o relatório da administração e as demonstrações financeiras.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14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Luiz Claudio Fernandes Lourenço Gomes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Presidente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4003"/>
            <w:gridSpan w:val="7"/>
            <w:shd w:val="clear" w:color="auto" w:fill="D9E2F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6"/>
              </w:rPr>
              <w:t>2. Comitês estatutários, órgãos de suporte ao Conselho e Auditoria Interna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COMAUD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Comitê de Auditoria Estatutário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Opina sobre contratação e destituição do auditor independente; supervisiona controle interno, auditoria interna e demonstrações financeiras; monitora exposições de risco e transações com partes relacionadas; recebe denúncias (inclusive sigilosas).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6º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Bruno Daniel da Silva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Presidente do Comitê)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COMEL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Comitê de Elegibilidade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Opina sobre requisitos e vedações para eleição de administradores e conselheiros fiscais; verifica a conformidade do processo de avaliação (prazo de 8 dias úteis).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7º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Rosania Maria Machado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(Presidente do Comitê)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COMISETI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Comitê de Ética e Compliance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Divulga e supervisiona o Código de Conduta Ética e Integridade; instância consultiva em ética pública; recebe e apura denúncias de desvio de conduta; propõe ações de educação em compliance.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8º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Marco Antônio Ramos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(Presidente do Comitê)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COMISEINF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Comitê de Segurança da Informação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Promove a cultura de segurança da informação; propõe normas, procedimentos e recursos; acompanha investigações de quebras de segurança.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9º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Alexandre Mendes da Rocha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(Presidente do Comitê)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COMRISDP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Comitê de Resposta a Incidentes de Segurança com Dados Pessoais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Conduz os procedimentos em caso de suspeita ou confirmação de incidente com dados pessoais. Composto pelo Diretor-Presidente, DIRAF, DPO, presidente do COMISEINF, Superintendente de TI, chefe da ASSJUR e titular da comunicação social (GERCOM no Regimento; ASSCOM atualmente).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10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Priscila Dantas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Priscila Dantas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COMESG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Comitê Estratégico de Sustentabilidade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Zela pela incorporação das dimensões social, ambiental, climática e de governança na estratégia e nos processos; recomenda objetivos de sustentabilidade e acompanha as ações.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11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Heitor Luiz Maciel Pereira Diretor de Administração e Finanças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COMISPAC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Comissão Permanente de Atividades Correcionais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 (reporta ao Diretor-Presidente)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Dá celeridade aos trabalhos de sindicância punitiva, processo administrativo sancionador e disciplinar, tomada de contas e demais processos de responsabilização. Até 12 membros e um presidente.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12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Carlos André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Presidente do Comitê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AUD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Auditoria Interna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Conselho de Administração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Atividade autônoma e de consultoria à alta administração; examina prestações e tomadas de contas; encaminha ao órgão central de auditoria a programação anual e os relatórios; apoia o Sistema de Controle Interno estadual.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13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Rosania Machado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Rosania Machado</w:t>
            </w:r>
          </w:p>
        </w:tc>
      </w:tr>
      <w:tr>
        <w:trPr>
          <w:cantSplit/>
        </w:trPr>
        <w:tc>
          <w:tcPr>
            <w:tcW w:type="dxa" w:w="14003"/>
            <w:gridSpan w:val="7"/>
            <w:shd w:val="clear" w:color="auto" w:fill="D9E2F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6"/>
              </w:rPr>
              <w:t>3. Diretoria da Presidência (PRESI) e órgãos de assessoramento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PRESI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da Presidência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Executiva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Convoca e preside a Diretoria Executiva; representa a Companhia em juízo e fora dele; nomeia e dispensa ocupantes de cargos de confiança; autoriza ações judiciais, admissões e demissões; firma convênios e contratos; constitui comissões.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16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Luiz Claudio Fernandes Lourenço Gomes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André Miranda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CHEGAB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Gabinete da Presidência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Assessora o Presidente; coordena o apoio técnico e administrativo, a documentação e o expediente; coordena a emissão de resoluções, portarias e atos para assinatura do Diretor-Presidente.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17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Savio Araújo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André Miranda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ASSGER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Assessoria de Governança, Riscos e Compliance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 (liderada pelo Diretor-Presidente)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Governança corporativa e Lei das Estatais; Relatório Anual de Governança; integridade e compliance; políticas de conformidade, controle interno e gerenciamento de riscos; coordena identificação, avaliação e planos de ação de riscos; planos de contingência; relatórios trimestrais.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18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Clarice Paiva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Clarice Paiva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ASSTAD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Assessoria Técnica e Administrativa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Assessora o Diretor-Presidente na gestão das unidades e em questões estratégicas; elabora e monitora planos de ação; monitora as demandas dos órgãos de controle e de outros órgãos externos.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19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Ana Caroline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ASSCON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Assessoria de Gestão de Contratos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Órgão central de gestão e coordenação de contratos, convênios e congêneres; apoia gestores e fiscais; coordena a prestação de contas dos contratos perante os órgãos de controle.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20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Patrícia Matos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Patrícia Matos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ASSJUR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Assessoria Jurídica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Manifesta-se sobre a legalidade dos atos da Companhia; assessora na interpretação de normas, contratos e instrumentos; uniformiza entendimentos da PGE; acompanha os aspectos jurídicos do atendimento aos órgãos de controle.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22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Leonardo Fuentes Fauaz de Andrade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(procurador)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Leonardo Fuentes Fauaz de Andrade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(procurador)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ASSCOM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Assessoria de Comunicação Social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Assessora a gestão em comunicação social; divulga atos, ações e eventos; produz material gráfico, audiovisual e digital; relacionamento com a imprensa e os públicos da instituição. (Competências do Regimento para a GERCOM, art. 23, que passou a ASSCOM; conferir.)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23 (GERCOM)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Rosana Freitas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Rosana Freitas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CORREG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Corregedoria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Unidade criada após o Regimento de 2024; competências a informar pela CENTRAL. Referência: a COMISPAC (Reg. art. 12) trata das atividades correcionais, e a ASSGER propõe a padronização dos procedimentos de correição (Reg. art. 18, XI).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 atualizar</w:t>
            </w:r>
          </w:p>
        </w:tc>
        <w:tc>
          <w:tcPr>
            <w:tcW w:type="dxa" w:w="1550"/>
            <w:shd w:val="clear" w:color="auto" w:fill="FFF2CC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x</w:t>
            </w:r>
          </w:p>
        </w:tc>
        <w:tc>
          <w:tcPr>
            <w:tcW w:type="dxa" w:w="1253"/>
            <w:shd w:val="clear" w:color="auto" w:fill="FFF2CC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x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OUVI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Ouvidoria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PRESI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Recebe e trata manifestações, representações, denúncias e pedidos de acesso à informação; intermedeia com os setores internos; elabora relatórios periódicos da ouvidoria.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24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Deise Martins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Deise Martins</w:t>
            </w:r>
          </w:p>
        </w:tc>
      </w:tr>
      <w:tr>
        <w:trPr>
          <w:cantSplit/>
        </w:trPr>
        <w:tc>
          <w:tcPr>
            <w:tcW w:type="dxa" w:w="14003"/>
            <w:gridSpan w:val="7"/>
            <w:shd w:val="clear" w:color="auto" w:fill="D9E2F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6"/>
              </w:rPr>
              <w:t>4. Diretoria de Administração e Finanças (DIRAF)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DIRAF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de Administração e Finanças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Executiva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Dirige as políticas de materiais, licitações, patrimônio, apoio geral, tecnologia da informação, segurança da informação, finanças, contabilidade, seguros, arrecadação, gestão documental e gestão de pessoas.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26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Heitor Luiz Maciel Pereira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Heitor Luiz Maciel Pereira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SUPTIN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Tecnologia da Informação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DIRAF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Cumpre as diretrizes técnicas do PRODERJ; encaminha o planejamento anual de TIC e o PDTIC; responde pela política de TIC da Companhia.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27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Alexandre Mendes da Rocha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Alexandre Mendes da Rocha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GERTIN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Tecnologia da Informação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SUPTIN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Avalia necessidades de software, hardware e dados; mantém aplicações e sistemas; gerencia as redes; fiscaliza fornecimentos e serviços de TI.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28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Maik Alves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Maik Alves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SUPADM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Administrativa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DIRAF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Supervisiona compras, materiais, protocolo, expediente, manutenção predial e racionalização de rotinas; supervisiona as licitações de projetos, obras, materiais e serviços.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29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Angela Crespo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Angela Crespo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GERLIC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Licitações e Contratos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SUPADM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Gerencia os procedimentos de licitação; mantém atualizados os dados das contratações no SIAFE-RIO; encaminha os atos de contratação ao TCE-RJ; acompanha pregão e comissões especiais.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30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Karen Cassiano de Lunna Silva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Karen Cassiano de Lunna Silva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GERADM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Administrativa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SUPADM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Controla almoxarifado e estoque; pesquisa de preços para compras e serviços; assessora no monitoramento das compras estratégicas; gerencia protocolo e os sistemas SIGA-RJ e SEI-RJ.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31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Misma Ottana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Misma Ottana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SUPGEP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Gestão de Pessoas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DIRAF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Planeja a política de gestão de pessoas, os gastos de pessoal e a folha de pagamento; identifica estratégias de gestão de pessoas; cumpre e faz cumprir a legislação da área.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32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Valdenice Alves da Silva de Paula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Valdenice Alves da Silva de Paula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GERGEP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Gestão de Pessoas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SUPGEP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Operacionaliza a folha, os direitos e deveres dos empregados ativos e inativos e o controle funcional; controla a programação de gastos de pessoal.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33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Rejane Lopes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Rejane Lopes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SUPFIC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Finanças e Contabilidade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DIRAF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Planeja a administração financeira, a contabilidade e o controle; planeja a gestão de recursos próprios e provenientes do Tesouro do Estado e do Banco Mundial.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35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Paulo Segges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Paulo Segges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GERFIN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Finanças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SUPFIC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Gerencia a administração financeira; gere recursos próprios e de outras fontes (Tesouro Estadual, terceiros, convênios e empréstimos); relatório de movimentação financeira do exercício.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36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Jorge Anísio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Jorge Anísio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GERCOT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Contabilidade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SUPFIC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Gerencia a contabilidade; firma atos de responsabilidade contábil; escrituração das operações no SIAFE-RIO.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37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Deborah Vaz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Deborah Vaz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ASSESMT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Assessoria de Serviço Social, Segurança e Medicina do Trabalho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DIRAF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Competências do Regimento para a GERMST (art. 34), a conferir: processos pedagógicos, psicológicos, assistenciais e sociais; treinamento, recrutamento e seleção; SESMT e engenharia de segurança e medicina do trabalho.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34 (GERMST)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Carlos Augusto Reis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Carlos Augusto Reis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SUPAT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Gestão Patrimonial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DIRAF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Planeja a administração e fiscalização dos bens patrimoniais, inclusive os do Contrato de Concessão; captação de receitas; convênios, cessões de uso, comodatos, alienação e regularização de imóveis.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38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Carlos André Ferreira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Carlos André Ferreira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GERADP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Administração Patrimonial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SUPAT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Controla o pagamento dos ocupantes de imóveis; administra os instrumentos de direito público e privado sobre imóveis ocupados por empregados e terceiros; revisão e renegociação de contratos.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39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Claudia Bianca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Claudia Bianca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GERFIP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Fiscalização Patrimonial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SUPAT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Vistoria, controle e avaliação de bens patrimoniais; fiscaliza propaganda clandestina e o cumprimento das cláusulas dos instrumentos de ocupação.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40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Ricardo Sebastião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Ricardo Sebastião</w:t>
            </w:r>
          </w:p>
        </w:tc>
      </w:tr>
      <w:tr>
        <w:trPr>
          <w:cantSplit/>
        </w:trPr>
        <w:tc>
          <w:tcPr>
            <w:tcW w:type="dxa" w:w="14003"/>
            <w:gridSpan w:val="7"/>
            <w:shd w:val="clear" w:color="auto" w:fill="D9E2F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6"/>
              </w:rPr>
              <w:t>5. Diretoria de Engenharia e Operação (DIREO)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DIREO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de Engenharia e Operação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Executiva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Dirige as políticas de planejamento de transportes, projetos e obras de recuperação e ampliação do patrimônio, operação e manutenção do sistema ferroviário; acompanha e fiscaliza contratos e convênios da diretoria.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42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Ary Arruda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Ary Arruda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SUPMRS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Material Rodante e Sistemas Eletroeletrônicos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Executa as políticas do sistema ferroviário quanto a material rodante e sistemas eletroeletrônicos, com foco em segurança operacional; supervisiona e fiscaliza as aquisições.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43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Ezequiel Soares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Ezequiel Soares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GERMAR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Material Rodante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SUPMRS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Controla os processos do material rodante; instrui os planos de manutenção; métodos para melhorar o desempenho do material rodante.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44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Felipe Lica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Felipe Lica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GERSIS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Sistemas Eletroeletrônicos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SUPMRS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Controla os processos dos sistemas eletroeletrônicos; instrui os planos de manutenção; métodos para melhorar seu desempenho.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45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André Assunção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André Assunção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SUPVIP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Via Permanente, Obras Civis e Manutenção Predial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Executa as políticas do sistema ferroviário quanto a via permanente, obras civis e manutenção predial; supervisiona e fiscaliza aquisições e processos em andamento.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46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Jorge Chaves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Jorge Chaves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GERVIP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Via Permanente e Obras Civis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SUPVIP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Controla os processos de via permanente e obras civis; instrui os planos de manutenção; métodos para melhorar o desempenho.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47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Gabriel Nicalio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Gabriel Nicalio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GERMAP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Manutenção Predial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SUPVIP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Controla a manutenção predial; elabora os planos de manutenção; apura e otimiza custos; projetos de engenharia e construção das instalações prediais.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48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Osmar de Souza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Osmar de Souza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SUPTRA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Manutenção e Operação de Transportes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Executa as políticas do sistema ferroviário quanto à manutenção e operação dos sistemas operados pela empresa, com foco em segurança operacional.</w:t>
            </w:r>
          </w:p>
          <w:p>
            <w:pPr>
              <w:spacing w:after="20" w:before="0"/>
            </w:pPr>
            <w:r>
              <w:rPr>
                <w:b w:val="0"/>
                <w:i/>
                <w:sz w:val="15"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49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Thiago Neto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Thiago Neto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GEROPT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Operação de Transportes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SUPTRA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Controla a operação dos sistemas operados pela empresa; planeja e controla a circulação dos bondes e outros veículos; procedimentos de segurança.</w:t>
            </w:r>
          </w:p>
          <w:p>
            <w:pPr>
              <w:spacing w:after="20" w:before="0"/>
            </w:pPr>
            <w:r>
              <w:rPr>
                <w:b w:val="0"/>
                <w:i/>
                <w:sz w:val="15"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50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Jerry do Quinto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Jerry do Quinto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GERMAT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Manutenção de Transportes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SUPTRA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Planejamento e controle da manutenção preventiva do material rodante, equipamentos e sistemas; desempenho da manutenção do Sistema de Bondes de Santa Teresa e de outros sistemas.</w:t>
            </w:r>
          </w:p>
          <w:p>
            <w:pPr>
              <w:spacing w:after="20" w:before="0"/>
            </w:pPr>
            <w:r>
              <w:rPr>
                <w:b w:val="0"/>
                <w:i/>
                <w:sz w:val="15"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51</w:t>
            </w:r>
          </w:p>
        </w:tc>
        <w:tc>
          <w:tcPr>
            <w:tcW w:type="dxa" w:w="1550"/>
            <w:shd w:val="clear" w:color="auto" w:fill="FFF2CC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x</w:t>
            </w:r>
          </w:p>
        </w:tc>
        <w:tc>
          <w:tcPr>
            <w:tcW w:type="dxa" w:w="1253"/>
            <w:shd w:val="clear" w:color="auto" w:fill="FFF2CC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x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ASSPRE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Assessoria de Projetos Especiais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DIREO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Planeja e coordena projetos que integram vários órgãos; projetos de valorização de áreas; estudos de modernização e ampliação do transporte sobre trilhos; projetos de convênios com prefeituras.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52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Danielle Malvaris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Danielle Malvaris</w:t>
            </w:r>
          </w:p>
        </w:tc>
      </w:tr>
      <w:tr>
        <w:trPr>
          <w:cantSplit/>
        </w:trPr>
        <w:tc>
          <w:tcPr>
            <w:tcW w:type="dxa" w:w="14003"/>
            <w:gridSpan w:val="7"/>
            <w:shd w:val="clear" w:color="auto" w:fill="D9E2F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6"/>
              </w:rPr>
              <w:t>6. Diretoria de Planejamento (DIRPLA)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DIRPLA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de Planejamento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Diretoria Executiva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Dirige as políticas de planejamento e orçamento; avalia a execução dos planos, programas e projetos; coordena o planejamento estratégico e o Plano de Investimentos do Poder Executivo (PIERJ).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54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/>
                <w:sz w:val="15"/>
              </w:rPr>
              <w:t>Heitor Luiz Maciel Pereira - Diretor de Interino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/>
                <w:sz w:val="15"/>
              </w:rPr>
              <w:t>Heitor Luiz Maciel Pereira - Diretor de Interino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SUPLAN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Superintendência de Planejamento e Orçamento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DIRPLA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Coordena os orçamentos anuais, a LDO e o PPA; coordena a gestão e a programação de investimentos; articula-se com os órgãos estaduais de planejamento e orçamento; atos de gestão orçamentária.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55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Márcio Gonçalves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Márcio Gonçalves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GERORT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Orçamento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SUPLAN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Monitora o cumprimento do orçamento anual; propostas orçamentárias, reprogramações e suplementações; programação e execução orçamentária; compatibilização com o PPA.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56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Renata Pires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Renata Pires</w:t>
            </w:r>
          </w:p>
        </w:tc>
      </w:tr>
      <w:tr>
        <w:trPr>
          <w:cantSplit/>
        </w:trPr>
        <w:tc>
          <w:tcPr>
            <w:tcW w:type="dxa" w:w="1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GERPLA</w:t>
            </w:r>
          </w:p>
        </w:tc>
        <w:tc>
          <w:tcPr>
            <w:tcW w:type="dxa" w:w="2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Gerência de Planejamento</w:t>
            </w:r>
          </w:p>
        </w:tc>
        <w:tc>
          <w:tcPr>
            <w:tcW w:type="dxa" w:w="16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SUPLAN</w:t>
            </w:r>
          </w:p>
        </w:tc>
        <w:tc>
          <w:tcPr>
            <w:tcW w:type="dxa" w:w="53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Auxilia a gestão e a programação de investimentos; apoia a elaboração do PPA, da LDO e da PLOA; acompanha o desempenho do PPA.</w:t>
            </w:r>
          </w:p>
        </w:tc>
        <w:tc>
          <w:tcPr>
            <w:tcW w:type="dxa" w:w="8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Reg. art. 57</w:t>
            </w:r>
          </w:p>
        </w:tc>
        <w:tc>
          <w:tcPr>
            <w:tcW w:type="dxa" w:w="155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Renata Pestana</w:t>
            </w:r>
          </w:p>
        </w:tc>
        <w:tc>
          <w:tcPr>
            <w:tcW w:type="dxa" w:w="125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Renata Pestana</w:t>
            </w:r>
          </w:p>
        </w:tc>
      </w:tr>
    </w:tbl>
    <w:p w14:paraId="36FC94BE" w14:textId="77777777" w:rsidR="008B1322" w:rsidRDefault="00841B6C">
      <w:pPr>
        <w:pStyle w:val="Ttulo1"/>
        <w:pageBreakBefore/>
      </w:pPr>
      <w:r>
        <w:t xml:space="preserve">ANEXO III – QUADRO DE RISCOS DA ASSGER</w:t>
      </w:r>
    </w:p>
    <w:p>
      <w:r>
        <w:rPr>
          <w:b w:val="0"/>
          <w:i w:val="0"/>
          <w:color w:val="595959"/>
          <w:sz w:val="19"/>
        </w:rPr>
        <w:t>Riscos sob responsabilidade da ASSGER, avaliados pelos critérios da Política de Gestão de Riscos, Conformidade e Controles Internos: probabilidade e impacto de 1 a 5; score = probabilidade × impacto; níveis baixo (1 a 4), médio (5 a 9), elevado (10 a 16) e extremo (17 a 25). Riscos em validação (status: proposta).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4100"/>
        <w:gridCol w:w="4100"/>
        <w:gridCol w:w="4103"/>
      </w:tblGrid>
      <w:tr>
        <w:trPr>
          <w:tblHeader/>
        </w:trPr>
        <w:tc>
          <w:tcPr>
            <w:tcW w:type="dxa" w:w="170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410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Risco 1 – Conformidade</w:t>
            </w:r>
          </w:p>
        </w:tc>
        <w:tc>
          <w:tcPr>
            <w:tcW w:type="dxa" w:w="4100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Risco 2 – Integridade</w:t>
            </w:r>
          </w:p>
        </w:tc>
        <w:tc>
          <w:tcPr>
            <w:tcW w:type="dxa" w:w="4103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Risco 3 – Transparência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ID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Risco 1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Risco 2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Risco 3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Responsável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ASSGER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ASSGER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ASSGER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Categoria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Regulamentar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Integridade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Estratégico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Processo / tema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Conformidade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Integridade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Transparência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Evento de risco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Normas internas (Estatuto, Regimento, políticas, RILC e POPs) desatualizadas, omissas ou em desacordo com a legislação superior e com a estrutura real da CENTRAL.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Não identificar ou avaliar adequadamente fatores de risco de integridade de fornecedores e partes interessadas, comprometendo o assessoramento à decisão e a continuidade das análises de DDI realizadas pela ASSGER.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Descumprimento dos requisitos de transparência ativa e de acesso à informação no site institucional, com informações ausentes, incompletas ou desatualizadas (Decreto 46.475/2018, Lei 13.303/2016, Lei 13.460/2017 e POP-CENTRAL-016).</w:t>
            </w:r>
          </w:p>
        </w:tc>
      </w:tr>
      <w:t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Causa / fonte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 acervo de 63 instrumentos nunca foi avaliado de forma sistemática, e a revisão era feita de maneira pontual. Houve mudanças legais recentes (Lei 15.177/2025, Lei 14.611/2023 e decretos estaduais 49.058, 49.394, 49.406 e 49.536). O Regimento não acompanhou a estrutura atual (proposta de 02/out/26 ainda em construção). Há propostas de alteração de POPs sem análise de conformidade. A equipe não consegue ler várias normas ao mesmo tempo sem uma ferramenta. O Programa de sistematização, elaborado em 2026, ainda não foi aprovado.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Diligências realizadas manualmente, mediante consultas a fontes abertas, certidões e registros disponíveis, com limitações de abrangência, cruzamento de informações e identificação de vínculos. Ausência de ferramenta especializada para avaliação e classificação estruturada dos riscos de integridade.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1) Responsabilidades dispersas entre várias áreas, com o POP-CENTRAL-016 desatualizado.  2) Falta de rotina periódica de atualização: licitações, contratos, programas, repasses e a Carta Anual, cujo último ano-base no site é 2024. 3) Mudanças de estrutura que o Regimento ainda não acompanhou.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Consequência / impacto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Insegurança jurídica, com normas contraditórias, sobrepostas ou omissas que geram divergência de interpretação entre áreas e risco de nulidade de atos e deliberações; apontamentos e sanções de órgãos de controle, com responsabilização de dirigentes; fragilidade dos controles internos e de integridade; e descumprimento de obrigações de transparência.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Contratações ou relacionamentos com terceiros cujos riscos de integridade não tenham sido suficientemente identificados; fragilidade na fundamentação das análises e recomendações; exposição reputacional; questionamentos dos órgãos de controle; aumento do tempo de análise e possibilidade de retenção de processos caso sejam exigidas classificações de risco sem os recursos e a metodologia necessários.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Apontamentos de órgãos de controle e questionamentos da Equipe de Transição. Descumprimento da Lei de Acesso à Informação e da Lei das Estatais. Responsabilização de dirigentes e dano à imagem da CENTRAL. Menor controle social e decisões tomadas com dados desatualizados.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Referência (origem da proposta)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Estatuto, art. 1º; Regimento, art. 18, III, VI, XVII e XVIII; Política, art. 23, III (Riscos Regulamentares)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Atribuições regimentais da ASSGER relativas à integridade, aos riscos e controles e ao assessoramento à alta administração; POP-CENTRAL-008; proposta de revisão do RILC, no processo SEI-100006/001717/2020; planejamento da contratação de solução de DDI e Background Check, no processo SEI-100006/000861/2026.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Ofício SETRAM/GABSEC nº 838/2026 (prazo 28/10/2026); Regimento, art. 18, I</w:t>
            </w:r>
          </w:p>
        </w:tc>
      </w:tr>
      <w:t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Controles existentes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Programa de Governança e Saneamento Normativo, proposta construída pela ASSGER em 2026 para sistematizar a conformidade normativa de todo o acervo. Pendente de aprovação da DIREXE. Reúne: a Metodologia de Avaliação , com 7 níveis hierárquicos, 6 tipos de teste e matriz de risco; o Manual, com os prompts de cada uma das 5 etapas; o Inventário Normativo; o Plano de Saneamento, com fluxo de 8 etapas e prazos; e o reporte trimestral ao COMAUD e semestral ao CONADM, com 8 indicadores.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Realização de DDI pela ASSGER nos processos encaminhados pela área de licitações, com consultas manuais a fontes abertas, certidões e registros negativos; análise das informações disponíveis sobre perfil, histórico e reputação dos fornecedores; registro dos resultados nos autos e emissão de relatório e recomendações, quando cabíveis. Esses controles possuem limitações para cruzamento de dados e classificação estruturada do risco.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POP-CENTRAL-016, que define áreas e fluxo, mas está desatualizado. Relatório de avaliação do site, que serve de monitoramento. Canal e-SIC/OuvERJ funcional. Publicação centralizada na ASSTAD. Política de Divulgação de Informações já publicada.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Probabilidade (1-5)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Impacto (1-5)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Score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12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16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Nível</w:t>
            </w:r>
          </w:p>
        </w:tc>
        <w:tc>
          <w:tcPr>
            <w:tcW w:type="dxa" w:w="4100"/>
            <w:shd w:val="clear" w:color="auto" w:fill="F4B18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Elevado</w:t>
            </w:r>
          </w:p>
        </w:tc>
        <w:tc>
          <w:tcPr>
            <w:tcW w:type="dxa" w:w="4100"/>
            <w:shd w:val="clear" w:color="auto" w:fill="F4B18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Elevado</w:t>
            </w:r>
          </w:p>
        </w:tc>
        <w:tc>
          <w:tcPr>
            <w:tcW w:type="dxa" w:w="4103"/>
            <w:shd w:val="clear" w:color="auto" w:fill="F4B18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sz w:val="15"/>
              </w:rPr>
              <w:t>Elevado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Tratamento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Mitigar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Mitigar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Mitigar</w:t>
            </w:r>
          </w:p>
        </w:tc>
      </w:tr>
      <w:t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Ação proposta (plano de ação)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1) Aprovar e implantar o Programa de Governança e Saneamento Normativo. 2) Concluir a Fase 0, a contratação da ferramenta de IA. Sem ela, o Programa diz que o diagnóstico não tem ritmo definido e não é exequível com a equipe atual. 3) Acompanhar por indicadores (cobertura do diagnóstico, achados críticos em aberto, tempo de tratamento e recorrência ≤ 5%) e reportar ao COMAUD e ao CONADM.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1) Dar prosseguimento à proposta de contratação de ferramenta tecnológica especializada, na modalidade SaaS, para Due Diligence de Integridade e Background Check de pessoas físicas e jurídicas, com consulta e cruzamento de bases, identificação de vínculos e sinais de alerta, emissão de relatórios e apoio à classificação dos riscos de integridade. A ASSGER já realizou benchmarking, pesquisa de soluções e preparação de minutas técnicas para subsidiar o planejamento da contratação. 2) Formalizar metodologia de DDI, com critérios de classificação, tratamento dos achados e encaminhamento às instâncias decisórias. 3) Compatibilizar o POP e as disposições do novo RILC, definindo responsabilidades, hipóteses de aplicação e prazos. 4) Capacitar os usuários e estabelecer rotina de registro e acompanhamento das diligências.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1) Transformar o relatório em plano de ação, com responsável e prazo por item. 2) Atualizar o POP-CENTRAL-016. 3) Criar uma rotina mensal de conferência e publicação.</w:t>
            </w:r>
          </w:p>
        </w:tc>
      </w:tr>
      <w:t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Prazo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ASSGER coordena, com ASSJUR e as áreas gestoras de cada norma (SUPADM, SUPGEP, SUPTIN, DIRAF e outras). Aprovação do Estatuto pelo CONADM e pela Assembleia Geral, e do Programa pela DIREXE. Prazo: a Fase 0 depende da contratação. Depois dela, o diagnóstico leva cerca de 43 semanas (6 + 11 + 10 + 16 por onda). Achados críticos: 30 dias. Prazo condicionado à contratação da ferramenta de Inteligência artificial.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01/06/2027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60 dias para atualização do site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AF0F7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/>
                <w:i w:val="0"/>
                <w:color w:val="1F3864"/>
                <w:sz w:val="15"/>
              </w:rPr>
              <w:t>Status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Proposta</w:t>
            </w:r>
          </w:p>
        </w:tc>
        <w:tc>
          <w:tcPr>
            <w:tcW w:type="dxa" w:w="4100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Proposta</w:t>
            </w:r>
          </w:p>
        </w:tc>
        <w:tc>
          <w:tcPr>
            <w:tcW w:type="dxa" w:w="4103"/>
            <w:tcMar>
              <w:top w:w="45" w:type="dxa"/>
              <w:left w:w="80" w:type="dxa"/>
              <w:bottom w:w="45" w:type="dxa"/>
              <w:right w:w="80" w:type="dxa"/>
            </w:tcMar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Proposta</w:t>
            </w:r>
          </w:p>
        </w:tc>
      </w:tr>
    </w:tbl>
    <w:sectPr w:rsidR="008B1322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1417" w:right="1134" w:bottom="1134" w:left="1701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B60F5E" w14:textId="77777777" w:rsidR="00CA1704" w:rsidRDefault="00CA1704">
      <w:r>
        <w:separator/>
      </w:r>
    </w:p>
  </w:endnote>
  <w:endnote w:type="continuationSeparator" w:id="0">
    <w:p w14:paraId="7F8B694B" w14:textId="77777777" w:rsidR="00CA1704" w:rsidRDefault="00CA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7367D7" w14:textId="77777777" w:rsidR="008B1322" w:rsidRDefault="00841B6C">
    <w:pPr>
      <w:tabs>
        <w:tab w:val="right" w:pos="9071"/>
      </w:tabs>
    </w:pPr>
    <w:r>
      <w:rPr>
        <w:color w:val="595959"/>
        <w:sz w:val="15"/>
        <w:szCs w:val="15"/>
      </w:rPr>
      <w:t xml:space="preserve">Informações posicionadas em </w:t>
    </w:r>
    <w:r>
      <w:rPr>
        <w:color w:val="595959"/>
        <w:sz w:val="15"/>
        <w:szCs w:val="15"/>
      </w:rPr>
      <w:t xml:space="preserve">28/10/2026</w:t>
    </w:r>
    <w:r>
      <w:rPr>
        <w:color w:val="595959"/>
        <w:sz w:val="15"/>
        <w:szCs w:val="15"/>
      </w:rPr>
      <w:tab/>
      <w:t xml:space="preserve">Página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 xml:space="preserve"> PAGE </w:instrText>
    </w:r>
    <w:r>
      <w:rPr>
        <w:color w:val="595959"/>
        <w:sz w:val="15"/>
        <w:szCs w:val="15"/>
      </w:rPr>
      <w:fldChar w:fldCharType="separate"/>
    </w:r>
    <w:r w:rsidR="001F1B42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 xml:space="preserve"> NUMPAGES </w:instrText>
    </w:r>
    <w:r>
      <w:rPr>
        <w:color w:val="595959"/>
        <w:sz w:val="15"/>
        <w:szCs w:val="15"/>
      </w:rPr>
      <w:fldChar w:fldCharType="separate"/>
    </w:r>
    <w:r w:rsidR="001F1B42">
      <w:rPr>
        <w:noProof/>
        <w:color w:val="595959"/>
        <w:sz w:val="15"/>
        <w:szCs w:val="15"/>
      </w:rPr>
      <w:t>21</w:t>
    </w:r>
    <w:r>
      <w:rPr>
        <w:color w:val="59595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372F64" w14:textId="77777777" w:rsidR="008B1322" w:rsidRDefault="008B132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3ACC22" w14:textId="77777777" w:rsidR="00CA1704" w:rsidRDefault="00CA1704">
      <w:r>
        <w:separator/>
      </w:r>
    </w:p>
  </w:footnote>
  <w:footnote w:type="continuationSeparator" w:id="0">
    <w:p w14:paraId="6EE6FB04" w14:textId="77777777" w:rsidR="00CA1704" w:rsidRDefault="00CA1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783D4A" w14:textId="77777777" w:rsidR="008B1322" w:rsidRDefault="00841B6C">
    <w:pPr>
      <w:pBdr>
        <w:bottom w:val="single" w:sz="6" w:space="4" w:color="1F3864"/>
      </w:pBdr>
      <w:tabs>
        <w:tab w:val="right" w:pos="9071"/>
      </w:tabs>
    </w:pPr>
    <w:r>
      <w:rPr>
        <w:b/>
        <w:bCs/>
        <w:color w:val="1F3864"/>
        <w:sz w:val="15"/>
        <w:szCs w:val="15"/>
      </w:rPr>
      <w:t>GOVERNO DO ESTADO DO RIO DE JANEIRO</w:t>
    </w:r>
    <w:r>
      <w:rPr>
        <w:sz w:val="15"/>
        <w:szCs w:val="15"/>
      </w:rPr>
      <w:tab/>
    </w:r>
    <w:r>
      <w:rPr>
        <w:color w:val="595959"/>
        <w:sz w:val="15"/>
        <w:szCs w:val="15"/>
      </w:rPr>
      <w:t xml:space="preserve">Relatório de Transição de Gestão – </w:t>
    </w:r>
    <w:r>
      <w:rPr>
        <w:color w:val="595959"/>
        <w:sz w:val="15"/>
        <w:szCs w:val="15"/>
      </w:rPr>
      <w:t xml:space="preserve">CENTRAL – ASSGER (SETRAM)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B556F" w14:textId="77777777" w:rsidR="008B1322" w:rsidRDefault="008B132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7E1566"/>
    <w:multiLevelType w:val="hybridMultilevel"/>
    <w:tmpl w:val="4FD40DCE"/>
    <w:lvl w:ilvl="0" w:tplc="D6D6562A">
      <w:start w:val="1"/>
      <w:numFmt w:val="bullet"/>
      <w:lvlText w:val="●"/>
      <w:lvlJc w:val="left"/>
      <w:pPr>
        <w:ind w:left="720" w:hanging="360"/>
      </w:pPr>
    </w:lvl>
    <w:lvl w:ilvl="1" w:tplc="F102A296">
      <w:start w:val="1"/>
      <w:numFmt w:val="bullet"/>
      <w:lvlText w:val="○"/>
      <w:lvlJc w:val="left"/>
      <w:pPr>
        <w:ind w:left="1440" w:hanging="360"/>
      </w:pPr>
    </w:lvl>
    <w:lvl w:ilvl="2" w:tplc="DFD69776">
      <w:start w:val="1"/>
      <w:numFmt w:val="bullet"/>
      <w:lvlText w:val="■"/>
      <w:lvlJc w:val="left"/>
      <w:pPr>
        <w:ind w:left="2160" w:hanging="360"/>
      </w:pPr>
    </w:lvl>
    <w:lvl w:ilvl="3" w:tplc="37367FF2">
      <w:start w:val="1"/>
      <w:numFmt w:val="bullet"/>
      <w:lvlText w:val="●"/>
      <w:lvlJc w:val="left"/>
      <w:pPr>
        <w:ind w:left="2880" w:hanging="360"/>
      </w:pPr>
    </w:lvl>
    <w:lvl w:ilvl="4" w:tplc="EA08B374">
      <w:start w:val="1"/>
      <w:numFmt w:val="bullet"/>
      <w:lvlText w:val="○"/>
      <w:lvlJc w:val="left"/>
      <w:pPr>
        <w:ind w:left="3600" w:hanging="360"/>
      </w:pPr>
    </w:lvl>
    <w:lvl w:ilvl="5" w:tplc="087030F6">
      <w:start w:val="1"/>
      <w:numFmt w:val="bullet"/>
      <w:lvlText w:val="■"/>
      <w:lvlJc w:val="left"/>
      <w:pPr>
        <w:ind w:left="4320" w:hanging="360"/>
      </w:pPr>
    </w:lvl>
    <w:lvl w:ilvl="6" w:tplc="A37C4894">
      <w:start w:val="1"/>
      <w:numFmt w:val="bullet"/>
      <w:lvlText w:val="●"/>
      <w:lvlJc w:val="left"/>
      <w:pPr>
        <w:ind w:left="5040" w:hanging="360"/>
      </w:pPr>
    </w:lvl>
    <w:lvl w:ilvl="7" w:tplc="BDB426AA">
      <w:start w:val="1"/>
      <w:numFmt w:val="bullet"/>
      <w:lvlText w:val="●"/>
      <w:lvlJc w:val="left"/>
      <w:pPr>
        <w:ind w:left="5760" w:hanging="360"/>
      </w:pPr>
    </w:lvl>
    <w:lvl w:ilvl="8" w:tplc="8F8440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63697"/>
    <w:multiLevelType w:val="hybridMultilevel"/>
    <w:tmpl w:val="1DFCB774"/>
    <w:lvl w:ilvl="0" w:tplc="91B66D88">
      <w:start w:val="1"/>
      <w:numFmt w:val="bullet"/>
      <w:lvlText w:val="•"/>
      <w:lvlJc w:val="left"/>
      <w:pPr>
        <w:ind w:left="360" w:hanging="240"/>
      </w:pPr>
      <w:rPr>
        <w:color w:val="1F3864"/>
      </w:rPr>
    </w:lvl>
    <w:lvl w:ilvl="1" w:tplc="769EFF74">
      <w:numFmt w:val="decimal"/>
      <w:lvlText w:val=""/>
      <w:lvlJc w:val="left"/>
    </w:lvl>
    <w:lvl w:ilvl="2" w:tplc="927ADF4E">
      <w:numFmt w:val="decimal"/>
      <w:lvlText w:val=""/>
      <w:lvlJc w:val="left"/>
    </w:lvl>
    <w:lvl w:ilvl="3" w:tplc="31EECF2C">
      <w:numFmt w:val="decimal"/>
      <w:lvlText w:val=""/>
      <w:lvlJc w:val="left"/>
    </w:lvl>
    <w:lvl w:ilvl="4" w:tplc="5EC41D02">
      <w:numFmt w:val="decimal"/>
      <w:lvlText w:val=""/>
      <w:lvlJc w:val="left"/>
    </w:lvl>
    <w:lvl w:ilvl="5" w:tplc="3C2A9862">
      <w:numFmt w:val="decimal"/>
      <w:lvlText w:val=""/>
      <w:lvlJc w:val="left"/>
    </w:lvl>
    <w:lvl w:ilvl="6" w:tplc="95ECE8A6">
      <w:numFmt w:val="decimal"/>
      <w:lvlText w:val=""/>
      <w:lvlJc w:val="left"/>
    </w:lvl>
    <w:lvl w:ilvl="7" w:tplc="A7C4AC98">
      <w:numFmt w:val="decimal"/>
      <w:lvlText w:val=""/>
      <w:lvlJc w:val="left"/>
    </w:lvl>
    <w:lvl w:ilvl="8" w:tplc="C2A48B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22"/>
    <w:rsid w:val="001F1B42"/>
    <w:rsid w:val="00361D35"/>
    <w:rsid w:val="00380726"/>
    <w:rsid w:val="0051534F"/>
    <w:rsid w:val="005E4F29"/>
    <w:rsid w:val="00651866"/>
    <w:rsid w:val="00687583"/>
    <w:rsid w:val="00841B6C"/>
    <w:rsid w:val="008B1322"/>
    <w:rsid w:val="00A26404"/>
    <w:rsid w:val="00C7317A"/>
    <w:rsid w:val="00CA1704"/>
    <w:rsid w:val="00D768F4"/>
    <w:rsid w:val="00E10DA7"/>
    <w:rsid w:val="00E9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D1B88"/>
  <w15:docId w15:val="{FC1AF471-2624-4EA8-98B9-267E08DD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62626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D35"/>
  </w:style>
  <w:style w:type="paragraph" w:styleId="Ttulo1">
    <w:name w:val="heading 1"/>
    <w:uiPriority w:val="9"/>
    <w:qFormat/>
    <w:pPr>
      <w:keepNext/>
      <w:pBdr>
        <w:bottom w:val="single" w:sz="12" w:space="4" w:color="1F3864"/>
      </w:pBdr>
      <w:spacing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pPr>
      <w:tabs>
        <w:tab w:val="right" w:leader="dot" w:pos="9071"/>
      </w:tabs>
      <w:spacing w:before="90" w:after="20"/>
    </w:pPr>
    <w:rPr>
      <w:b/>
      <w:bCs/>
      <w:color w:val="1F3864"/>
      <w:sz w:val="20"/>
      <w:szCs w:val="20"/>
    </w:rPr>
  </w:style>
  <w:style w:type="paragraph" w:styleId="Sumrio2">
    <w:name w:val="toc 2"/>
    <w:pPr>
      <w:tabs>
        <w:tab w:val="right" w:leader="dot" w:pos="9071"/>
      </w:tabs>
      <w:spacing w:after="10"/>
      <w:ind w:left="360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5826</Words>
  <Characters>31463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Transição de Gestão – modelo padronizado</vt:lpstr>
    </vt:vector>
  </TitlesOfParts>
  <Company/>
  <LinksUpToDate>false</LinksUpToDate>
  <CharactersWithSpaces>37215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Transição de Gestão – modelo padronizado</dc:title>
  <dc:creator>Governo do Estado do Rio de Janeiro</dc:creator>
  <dc:description>Modelo único para as Secretarias de Estado, com orientações de preenchimento</dc:description>
  <cp:lastModifiedBy>Clarice Amaral Paiva</cp:lastModifiedBy>
  <cp:revision>2</cp:revision>
  <dcterms:created xsi:type="dcterms:W3CDTF">2026-10-28T18:24:00Z</dcterms:created>
  <dcterms:modified xsi:type="dcterms:W3CDTF">2026-10-28T18:24:00Z</dcterms:modified>
</cp:coreProperties>
</file>