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UMA PERGUNTA, MUITAS PORTAS</w:t>
      </w:r>
    </w:p>
    <w:p>
      <w:r>
        <w:rPr>
          <w:i/>
          <w:color w:val="0000FF"/>
          <w:sz w:val="19"/>
        </w:rPr>
        <w:t>Em azul: trechos a verificar ou alterar, numerados conforme o quadro ao final. As observações também estão nos comentários do Word. Texto transcrito da imagem, que está pequena: conferir com o original.</w:t>
      </w:r>
    </w:p>
    <w:p>
      <w:pPr>
        <w:spacing w:after="200"/>
        <w:jc w:val="both"/>
      </w:pPr>
      <w:r>
        <w:rPr>
          <w:i w:val="0"/>
        </w:rPr>
        <w:t>A primeira porta foi o próprio financiador. O especialista em licitações do organismo sustentou que não havia imposto a cobrar. O pagamento em dólar seria feito diretamente pelo organismo, em conta no exterior, amparado por invoice, e não por nota fiscal nacional, e sobre invoice, dizia ele, não incide imposto nacional. Disse isso em 12 de abril de 2021 e repetiu em 26 e 31 de maio.</w:t>
      </w:r>
    </w:p>
    <w:p>
      <w:pPr>
        <w:spacing w:after="200"/>
        <w:jc w:val="both"/>
      </w:pPr>
      <w:r>
        <w:rPr>
          <w:i w:val="0"/>
        </w:rPr>
        <w:t xml:space="preserve">Dentro do organismo havia uma segunda voz. </w:t>
      </w:r>
      <w:commentRangeStart w:id="0"/>
      <w:r>
        <w:rPr>
          <w:i w:val="0"/>
          <w:color w:val="0000FF"/>
        </w:rPr>
        <w:t>A gerente de projeto pressionava pelo fechamento. O especialista olhava para a regra; ela olhava para o relógio. Cobrava a conclusão da licitação e o início do projeto, num cronograma que já acumulava atraso,</w:t>
      </w:r>
      <w:commentRangeEnd w:id="0"/>
      <w:r>
        <w:rPr>
          <w:rStyle w:val="CommentReference"/>
        </w:rPr>
        <w:commentReference w:id="0"/>
      </w:r>
      <w:r>
        <w:rPr>
          <w:color w:val="0000FF"/>
          <w:sz w:val="16"/>
          <w:vertAlign w:val="superscript"/>
        </w:rPr>
        <w:t xml:space="preserve"> [1]</w:t>
      </w:r>
      <w:r>
        <w:rPr>
          <w:i w:val="0"/>
        </w:rPr>
        <w:t xml:space="preserve"> e acabou aprovando incluir o imposto no contrato, com ajuste posterior, </w:t>
      </w:r>
      <w:commentRangeStart w:id="1"/>
      <w:r>
        <w:rPr>
          <w:i w:val="0"/>
          <w:color w:val="0000FF"/>
        </w:rPr>
        <w:t>o oposto do que o especialista vinha sustentando</w:t>
      </w:r>
      <w:commentRangeEnd w:id="1"/>
      <w:r>
        <w:rPr>
          <w:rStyle w:val="CommentReference"/>
        </w:rPr>
        <w:commentReference w:id="1"/>
      </w:r>
      <w:r>
        <w:rPr>
          <w:color w:val="0000FF"/>
          <w:sz w:val="16"/>
          <w:vertAlign w:val="superscript"/>
        </w:rPr>
        <w:t xml:space="preserve"> [2]</w:t>
      </w:r>
      <w:r>
        <w:rPr>
          <w:i w:val="0"/>
        </w:rPr>
        <w:t>. Do lado da empresa, ficava difícil saber qual das duas falava em nome da instituição.</w:t>
      </w:r>
    </w:p>
    <w:p>
      <w:pPr>
        <w:spacing w:after="200"/>
        <w:jc w:val="both"/>
      </w:pPr>
      <w:r>
        <w:rPr>
          <w:i w:val="0"/>
        </w:rPr>
        <w:t xml:space="preserve">A empresa de consultoria pensava o contrário. A representante da consultoria defendeu que o imposto existe e deve ser pago, e reafirmou essa posição mais de uma vez. Pedia que o imposto brasileiro, o IR e o ISS, fosse previsto e somado ao valor do contrato, com base na convenção contra a dupla tributação entre Brasil e Espanha. Sustentava que, se a nota fosse emitida em nome do contratante brasileiro, o imposto incidiria, qualquer que fosse o canal de pagamento. E, se a decisão fosse excluí-lo, </w:t>
      </w:r>
      <w:commentRangeStart w:id="2"/>
      <w:r>
        <w:rPr>
          <w:i w:val="0"/>
          <w:color w:val="0000FF"/>
        </w:rPr>
        <w:t>exigia a ressalva de rever o valor por termo aditivo caso o imposto viesse a ser cobrado</w:t>
      </w:r>
      <w:commentRangeEnd w:id="2"/>
      <w:r>
        <w:rPr>
          <w:rStyle w:val="CommentReference"/>
        </w:rPr>
        <w:commentReference w:id="2"/>
      </w:r>
      <w:r>
        <w:rPr>
          <w:color w:val="0000FF"/>
          <w:sz w:val="16"/>
          <w:vertAlign w:val="superscript"/>
        </w:rPr>
        <w:t xml:space="preserve"> [3]</w:t>
      </w:r>
      <w:r>
        <w:rPr>
          <w:i w:val="0"/>
        </w:rPr>
        <w:t xml:space="preserve">. Era parte com mais a perder no curto prazo, porque um imposto retido sem previsão </w:t>
      </w:r>
      <w:commentRangeStart w:id="3"/>
      <w:r>
        <w:rPr>
          <w:i w:val="0"/>
          <w:color w:val="0000FF"/>
        </w:rPr>
        <w:t>saíria</w:t>
      </w:r>
      <w:commentRangeEnd w:id="3"/>
      <w:r>
        <w:rPr>
          <w:rStyle w:val="CommentReference"/>
        </w:rPr>
        <w:commentReference w:id="3"/>
      </w:r>
      <w:r>
        <w:rPr>
          <w:color w:val="0000FF"/>
          <w:sz w:val="16"/>
          <w:vertAlign w:val="superscript"/>
        </w:rPr>
        <w:t xml:space="preserve"> [4]</w:t>
      </w:r>
      <w:r>
        <w:rPr>
          <w:i w:val="0"/>
        </w:rPr>
        <w:t xml:space="preserve"> do seu faturamento.</w:t>
      </w:r>
    </w:p>
    <w:p>
      <w:pPr>
        <w:spacing w:after="200"/>
        <w:jc w:val="both"/>
      </w:pPr>
      <w:r>
        <w:rPr>
          <w:i w:val="0"/>
        </w:rPr>
        <w:t xml:space="preserve">Internamente, a questão subiu até o diretor financeiro da instituição, que repassou a dúvida adiante sem assumir posição própria. Ao encaminhá-la à Fazenda estadual, juntou um exemplo: a compra de trens, paga diretamente em iuan. </w:t>
      </w:r>
      <w:commentRangeStart w:id="4"/>
      <w:r>
        <w:rPr>
          <w:i w:val="0"/>
          <w:color w:val="0000FF"/>
        </w:rPr>
        <w:t>Era um mau exemplo. Trem é bem, e a nossa dúvida era sobre serviço.</w:t>
      </w:r>
      <w:commentRangeEnd w:id="4"/>
      <w:r>
        <w:rPr>
          <w:rStyle w:val="CommentReference"/>
        </w:rPr>
        <w:commentReference w:id="4"/>
      </w:r>
      <w:r>
        <w:rPr>
          <w:color w:val="0000FF"/>
          <w:sz w:val="16"/>
          <w:vertAlign w:val="superscript"/>
        </w:rPr>
        <w:t xml:space="preserve"> [5]</w:t>
      </w:r>
      <w:r>
        <w:rPr>
          <w:i w:val="0"/>
        </w:rPr>
        <w:t xml:space="preserve"> </w:t>
      </w:r>
      <w:commentRangeStart w:id="5"/>
      <w:r>
        <w:rPr>
          <w:i w:val="0"/>
          <w:color w:val="0000FF"/>
        </w:rPr>
        <w:t>Até o assunto era a isenção de impostos na compra de um bem; aqui, saber se havia imposto sobre uma consultoria estrangeira e quais.</w:t>
      </w:r>
      <w:commentRangeEnd w:id="5"/>
      <w:r>
        <w:rPr>
          <w:rStyle w:val="CommentReference"/>
        </w:rPr>
        <w:commentReference w:id="5"/>
      </w:r>
      <w:r>
        <w:rPr>
          <w:color w:val="0000FF"/>
          <w:sz w:val="16"/>
          <w:vertAlign w:val="superscript"/>
        </w:rPr>
        <w:t xml:space="preserve"> [6]</w:t>
      </w:r>
      <w:r>
        <w:rPr>
          <w:i w:val="0"/>
        </w:rPr>
        <w:t xml:space="preserve"> Não sei se entenderam a pergunta que lhes foi feita. </w:t>
      </w:r>
      <w:commentRangeStart w:id="6"/>
      <w:r>
        <w:rPr>
          <w:i w:val="0"/>
          <w:color w:val="0000FF"/>
        </w:rPr>
        <w:t>Sei que a resposta, meses depois, falava de trens. A pergunta sobre o imposto seguiu sem resposta.</w:t>
      </w:r>
      <w:commentRangeEnd w:id="6"/>
      <w:r>
        <w:rPr>
          <w:rStyle w:val="CommentReference"/>
        </w:rPr>
        <w:commentReference w:id="6"/>
      </w:r>
      <w:r>
        <w:rPr>
          <w:color w:val="0000FF"/>
          <w:sz w:val="16"/>
          <w:vertAlign w:val="superscript"/>
        </w:rPr>
        <w:t xml:space="preserve"> [7]</w:t>
      </w:r>
    </w:p>
    <w:p>
      <w:pPr>
        <w:spacing w:after="200"/>
        <w:jc w:val="both"/>
      </w:pPr>
      <w:r>
        <w:rPr>
          <w:i w:val="0"/>
        </w:rPr>
        <w:t xml:space="preserve">A porta seguinte foi a Secretaria de Estado de Fazenda. </w:t>
      </w:r>
      <w:commentRangeStart w:id="7"/>
      <w:r>
        <w:rPr>
          <w:i w:val="0"/>
          <w:color w:val="0000FF"/>
        </w:rPr>
        <w:t>A dúvida chegou até ela por despacho em processo eletrônico, encaminhado pela diretoria financeira, que é quem fala com a Fazenda.</w:t>
      </w:r>
      <w:commentRangeEnd w:id="7"/>
      <w:r>
        <w:rPr>
          <w:rStyle w:val="CommentReference"/>
        </w:rPr>
        <w:commentReference w:id="7"/>
      </w:r>
      <w:r>
        <w:rPr>
          <w:color w:val="0000FF"/>
          <w:sz w:val="16"/>
          <w:vertAlign w:val="superscript"/>
        </w:rPr>
        <w:t xml:space="preserve"> [8]</w:t>
      </w:r>
      <w:r>
        <w:rPr>
          <w:i w:val="0"/>
        </w:rPr>
        <w:t xml:space="preserve"> Passou-se um mês sem resposta. Só depois de um telefonema da Comissão, a Fazenda disse que aguardava a manifestação de um banco comercial, o Bradesco, para saber se havia ou não incidência de imposto. </w:t>
      </w:r>
      <w:commentRangeStart w:id="8"/>
      <w:r>
        <w:rPr>
          <w:i w:val="0"/>
          <w:color w:val="0000FF"/>
        </w:rPr>
        <w:t>No dia seguinte, em reunião, repetiu a mesma coisa, e Luciana e um representante do governo estadual estranharam, pois definir imposto não cabia ao banco.</w:t>
      </w:r>
      <w:commentRangeEnd w:id="8"/>
      <w:r>
        <w:rPr>
          <w:rStyle w:val="CommentReference"/>
        </w:rPr>
        <w:commentReference w:id="8"/>
      </w:r>
      <w:r>
        <w:rPr>
          <w:color w:val="0000FF"/>
          <w:sz w:val="16"/>
          <w:vertAlign w:val="superscript"/>
        </w:rPr>
        <w:t xml:space="preserve"> [9]</w:t>
      </w:r>
    </w:p>
    <w:p>
      <w:pPr>
        <w:spacing w:after="200"/>
        <w:jc w:val="both"/>
      </w:pPr>
      <w:r>
        <w:rPr>
          <w:i w:val="0"/>
        </w:rPr>
        <w:t xml:space="preserve">Assim, uma pergunta sobre tributo, feita por uma empresa do Estado ao órgão do Estado que cuida de tributos, </w:t>
      </w:r>
      <w:commentRangeStart w:id="9"/>
      <w:r>
        <w:rPr>
          <w:i w:val="0"/>
          <w:color w:val="0000FF"/>
        </w:rPr>
        <w:t>voltou com a indicação de que um banco privado saberia dizer. O Estado parecia não saber responder.</w:t>
      </w:r>
      <w:commentRangeEnd w:id="9"/>
      <w:r>
        <w:rPr>
          <w:rStyle w:val="CommentReference"/>
        </w:rPr>
        <w:commentReference w:id="9"/>
      </w:r>
      <w:r>
        <w:rPr>
          <w:color w:val="0000FF"/>
          <w:sz w:val="16"/>
          <w:vertAlign w:val="superscript"/>
        </w:rPr>
        <w:t xml:space="preserve"> [10]</w:t>
      </w:r>
      <w:r>
        <w:rPr>
          <w:i w:val="0"/>
        </w:rPr>
        <w:t xml:space="preserve"> Não por não querer, ao que parecia, mas por não saber.</w:t>
      </w:r>
    </w:p>
    <w:p>
      <w:pPr>
        <w:spacing w:before="320"/>
      </w:pPr>
      <w:r>
        <w:rPr>
          <w:b/>
        </w:rPr>
        <w:t>Quadro de alterações sugeridas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val="clear" w:fill="D9E2F3"/>
          </w:tcPr>
          <w:p>
            <w:r/>
            <w:r>
              <w:rPr>
                <w:b/>
                <w:sz w:val="20"/>
              </w:rPr>
              <w:t>Nº</w:t>
            </w:r>
          </w:p>
        </w:tc>
        <w:tc>
          <w:tcPr>
            <w:tcW w:type="dxa" w:w="2381"/>
            <w:shd w:val="clear" w:fill="D9E2F3"/>
          </w:tcPr>
          <w:p>
            <w:r/>
            <w:r>
              <w:rPr>
                <w:b/>
                <w:sz w:val="20"/>
              </w:rPr>
              <w:t>Trecho</w:t>
            </w:r>
          </w:p>
        </w:tc>
        <w:tc>
          <w:tcPr>
            <w:tcW w:type="dxa" w:w="2608"/>
            <w:shd w:val="clear" w:fill="D9E2F3"/>
          </w:tcPr>
          <w:p>
            <w:r/>
            <w:r>
              <w:rPr>
                <w:b/>
                <w:sz w:val="20"/>
              </w:rPr>
              <w:t>Problema</w:t>
            </w:r>
          </w:p>
        </w:tc>
        <w:tc>
          <w:tcPr>
            <w:tcW w:type="dxa" w:w="3231"/>
            <w:shd w:val="clear" w:fill="D9E2F3"/>
          </w:tcPr>
          <w:p>
            <w:r/>
            <w:r>
              <w:rPr>
                <w:b/>
                <w:sz w:val="20"/>
              </w:rPr>
              <w:t>Sugestão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“A gerente de projeto pressionava pelo fechamento [...] Cobrava a conclusão”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Só a Nota Técnica (item 123) descreve a pressão; as falas dela nos arquivos são curtas.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Atribuir à Nota Técnica ou localizar o e-mail de cobrança.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“o oposto do que o especialista vinha sustentando”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Confere; precisar que ela respondeu à proposta da CENTRAL de 13/09, com ISS e IRRF e cláusula de glosa.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“[...] aprovando, em 28/09/2021, a proposta da CENTRAL de incluir ISS e IRRF no contrato, com glosa ou aditivo se o entendimento mudasse, o oposto do que o especialista vinha sustentando.”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“exigia a ressalva de rever o valor por termo aditivo”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A consultoria “solicitou” (14/07/2021). “Termo aditivo” é expressão da CENTRAL.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“pedia a ressalva de rever o valor caso o imposto viesse a ser cobrado”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“saíria”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Erro de digitação.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“sairia”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“Era um mau exemplo. Trem é bem, e a nossa dúvida era sobre serviço.”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A própria DIRAF apontou que era aquisição de bens; o exemplo mostrava o precedente do pagamento direto.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“Era um exemplo imperfeito: trem é bem, e a dúvida era sobre serviço.”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“Até o assunto era a isenção [...] aqui, saber se havia imposto [...]”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Trecho confuso.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“Lá, a compra de um bem, sem imposto; aqui, uma consultoria estrangeira, e a pergunta era se havia imposto e quais.”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“Sei que a resposta, meses depois, falava de trens. A pergunta sobre o imposto seguiu sem resposta.”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A pergunta formal era se o pagamento direto era possível; a SEFAZ respondeu que sim (26/08/2021). A SUNOT respondeu em 16/09 sobre “aquisição anterior”.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“A Fazenda respondeu que o pagamento direto era possível, mas a pergunta sobre o imposto seguiu sem resposta.”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“A dúvida chegou até ela por despacho [...]”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O despacho perguntava sobre a possibilidade do pagamento direto; a dúvida tributária entrou depois, por causa do Bradesco.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“A pergunta chegou até ela por despacho em processo eletrônico: era possível o pagamento direto? A dúvida sobre imposto veio embutida.”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“No dia seguinte, em reunião, repetiu a mesma coisa [...]”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A reunião em que o representante do Estado estranhou foi em 26/08/2021, um mês depois.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“Um mês depois, em reunião com a Casa Civil, repetiu a mesma coisa [...]”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“voltou com a indicação de que um banco privado saberia dizer”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Falta o motivo: o Bradesco opera o câmbio e disse que ele estaria sujeito a impostos.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“[...] voltou com a indicação de que o banco que opera o câmbio, o Bradesco, saberia dizer.”</w:t>
            </w:r>
          </w:p>
        </w:tc>
      </w:tr>
    </w:tbl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Claude" w:initials="CL" w:date="2026-10-20T23:45:01Z">
    <w:p>
      <w:pPr>
        <w:pStyle w:val="CommentText"/>
      </w:pPr>
      <w:r>
        <w:rPr>
          <w:rStyle w:val="CommentReference"/>
        </w:rPr>
        <w:annotationRef/>
      </w:r>
      <w:r>
        <w:t>A pressão da gerente só aparece na Nota Técnica (item 123), que descreve sem citar a mensagem. Nos arquivos, as falas dela são curtas: 23/09/2021 (“Podemos/devemos tratar disso na reunião de segunda-feira, 27/9”) e 28/09/2021 (aprovação). Sugestão: atribuir a observação à Nota Técnica ou localizar o e-mail de cobrança.</w:t>
      </w:r>
    </w:p>
  </w:comment>
  <w:comment w:id="1" w:author="Claude" w:initials="CL" w:date="2026-10-20T23:45:01Z">
    <w:p>
      <w:pPr>
        <w:pStyle w:val="CommentText"/>
      </w:pPr>
      <w:r>
        <w:rPr>
          <w:rStyle w:val="CommentReference"/>
        </w:rPr>
        <w:annotationRef/>
      </w:r>
      <w:r>
        <w:t>Confere, com precisão: em 28/09/2021 ela respondeu à proposta da CENTRAL de 13/09 (incluir ISS e IRRF, com glosa ou termo aditivo se o entendimento mudasse), apresentada com a Decisão da Receita e comprovantes que o especialista ainda não tinha analisado. A última posição do especialista nos arquivos é de 27/07/2021.</w:t>
      </w:r>
    </w:p>
  </w:comment>
  <w:comment w:id="2" w:author="Claude" w:initials="CL" w:date="2026-10-20T23:45:01Z">
    <w:p>
      <w:pPr>
        <w:pStyle w:val="CommentText"/>
      </w:pPr>
      <w:r>
        <w:rPr>
          <w:rStyle w:val="CommentReference"/>
        </w:rPr>
        <w:annotationRef/>
      </w:r>
      <w:r>
        <w:t>A consultoria “solicitou”, não “exigiu” (e-mail de 14/07/2021: “solicitamos que caso aconteçam retenções [...] possa ser considerados novamente esses impostos e acrescentados no contrato”). A expressão “termo aditivo” vem da CENTRAL e da Nota Técnica (item 89). Sugestão: “pedia”.</w:t>
      </w:r>
    </w:p>
  </w:comment>
  <w:comment w:id="3" w:author="Claude" w:initials="CL" w:date="2026-10-20T23:45:01Z">
    <w:p>
      <w:pPr>
        <w:pStyle w:val="CommentText"/>
      </w:pPr>
      <w:r>
        <w:rPr>
          <w:rStyle w:val="CommentReference"/>
        </w:rPr>
        <w:annotationRef/>
      </w:r>
      <w:r>
        <w:t>Erro de digitação: “sairia”.</w:t>
      </w:r>
    </w:p>
  </w:comment>
  <w:comment w:id="4" w:author="Claude" w:initials="CL" w:date="2026-10-20T23:45:01Z">
    <w:p>
      <w:pPr>
        <w:pStyle w:val="CommentText"/>
      </w:pPr>
      <w:r>
        <w:rPr>
          <w:rStyle w:val="CommentReference"/>
        </w:rPr>
        <w:annotationRef/>
      </w:r>
      <w:r>
        <w:t>A própria DIRAF assinalou a diferença no despacho de 24/06/2021 (Anexo 21_2, assinado pelo Diretor de Administração e Finanças): “por se tratar de aquisição de Bens (Trens) pelo Estado, não incidiram impostos”. O exemplo servia para mostrar que o pagamento direto tinha precedente, não para responder sobre serviços. Sugestão: suavizar “era um mau exemplo”.</w:t>
      </w:r>
    </w:p>
  </w:comment>
  <w:comment w:id="5" w:author="Claude" w:initials="CL" w:date="2026-10-20T23:45:01Z">
    <w:p>
      <w:pPr>
        <w:pStyle w:val="CommentText"/>
      </w:pPr>
      <w:r>
        <w:rPr>
          <w:rStyle w:val="CommentReference"/>
        </w:rPr>
        <w:annotationRef/>
      </w:r>
      <w:r>
        <w:t>Trecho confuso (“Até o assunto era a isenção [...]”). Reescrever: lá, a compra de um bem, sem imposto; aqui, um serviço de consultoria estrangeira, e a pergunta era se havia imposto e quais. (Transcrição feita da imagem: conferir.)</w:t>
      </w:r>
    </w:p>
  </w:comment>
  <w:comment w:id="6" w:author="Claude" w:initials="CL" w:date="2026-10-20T23:45:01Z">
    <w:p>
      <w:pPr>
        <w:pStyle w:val="CommentText"/>
      </w:pPr>
      <w:r>
        <w:rPr>
          <w:rStyle w:val="CommentReference"/>
        </w:rPr>
        <w:annotationRef/>
      </w:r>
      <w:r>
        <w:t>Precisão: a pergunta formal da CENTRAL à Fazenda (despacho de 21/06/2021) era se o pagamento direto em dólar era possível, e a SEFAZ respondeu que sim em 26/08/2021 (Anexo 21_4). A dúvida sobre imposto surgiu depois, dentro da SEFAZ, e a SUNOT respondeu em 16/09/2021 com uma pergunta sobre imunidade recíproca e “aquisição anterior”. Ela seguiu sem resposta, o que confere.</w:t>
      </w:r>
    </w:p>
  </w:comment>
  <w:comment w:id="7" w:author="Claude" w:initials="CL" w:date="2026-10-20T23:45:01Z">
    <w:p>
      <w:pPr>
        <w:pStyle w:val="CommentText"/>
      </w:pPr>
      <w:r>
        <w:rPr>
          <w:rStyle w:val="CommentReference"/>
        </w:rPr>
        <w:annotationRef/>
      </w:r>
      <w:r>
        <w:t>Precisão: o despacho que chegou à SEFAZ (CENTRAL, 21/06; DIRAF, 24/06/2021) perguntava se o pagamento direto era possível, e não se havia imposto. A dúvida tributária entrou depois, por causa da informação do Bradesco (despacho da SEFAZ de 24/08/2021). Sugestão: dizer isso.</w:t>
      </w:r>
    </w:p>
  </w:comment>
  <w:comment w:id="8" w:author="Claude" w:initials="CL" w:date="2026-10-20T23:45:01Z">
    <w:p>
      <w:pPr>
        <w:pStyle w:val="CommentText"/>
      </w:pPr>
      <w:r>
        <w:rPr>
          <w:rStyle w:val="CommentReference"/>
        </w:rPr>
        <w:annotationRef/>
      </w:r>
      <w:r>
        <w:t>Data: a reunião em que o representante do Estado (Casa Civil) questionou o envio ao Bradesco foi em 26/08/2021, um mês depois do telefonema de 26/07 (Anexo 29_32, ata). No dia seguinte ao telefonema (27/07) houve uma reunião CENTRAL, SEFAZ e Banco Mundial, de que não há ata nos arquivos.</w:t>
      </w:r>
    </w:p>
  </w:comment>
  <w:comment w:id="9" w:author="Claude" w:initials="CL" w:date="2026-10-20T23:45:01Z">
    <w:p>
      <w:pPr>
        <w:pStyle w:val="CommentText"/>
      </w:pPr>
      <w:r>
        <w:rPr>
          <w:rStyle w:val="CommentReference"/>
        </w:rPr>
        <w:annotationRef/>
      </w:r>
      <w:r>
        <w:t>Faltou o motivo do Bradesco: ele operacionaliza o câmbio do pagamento direto e informou à SEFAZ que “o câmbio estaria suscetível a pagamento de impostos” (despacho de 24/08/2021, Anexo 21_3). Ou seja, a pergunta ao banco era sobre os impostos do câmbio. Sugestão: incluir, o que reforça a ideia de que o Estado não tinha a resposta.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