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A EMPRESA, O FINANCIAMENTO E AS REGRAS DO JOGO</w:t>
      </w:r>
    </w:p>
    <w:p>
      <w:r>
        <w:rPr>
          <w:i/>
          <w:color w:val="0000FF"/>
          <w:sz w:val="19"/>
        </w:rPr>
        <w:t>Em azul: trechos a verificar ou alterar, numerados conforme o quadro ao final. As observações também estão nos comentários do Word. O trecho riscado reproduz a marca do original.</w:t>
      </w:r>
    </w:p>
    <w:p>
      <w:pPr>
        <w:spacing w:after="200"/>
        <w:jc w:val="both"/>
      </w:pPr>
      <w:r>
        <w:rPr>
          <w:i w:val="0"/>
        </w:rPr>
        <w:t xml:space="preserve">Como uma empresa pública, suas contratações seguiam, à época, a </w:t>
      </w:r>
      <w:commentRangeStart w:id="0"/>
      <w:r>
        <w:rPr>
          <w:i w:val="0"/>
          <w:color w:val="0000FF"/>
        </w:rPr>
        <w:t>Lei 8.666/93</w:t>
      </w:r>
      <w:commentRangeEnd w:id="0"/>
      <w:r>
        <w:rPr>
          <w:rStyle w:val="CommentReference"/>
        </w:rPr>
        <w:commentReference w:id="0"/>
      </w:r>
      <w:r>
        <w:rPr>
          <w:color w:val="0000FF"/>
          <w:sz w:val="16"/>
          <w:vertAlign w:val="superscript"/>
        </w:rPr>
        <w:t xml:space="preserve"> [1]</w:t>
      </w:r>
      <w:r>
        <w:rPr>
          <w:i w:val="0"/>
          <w:strike/>
          <w:color w:val="0000FF"/>
        </w:rPr>
        <w:t>13.303/2016, que trata das estatais,</w:t>
      </w:r>
      <w:r>
        <w:rPr>
          <w:color w:val="0000FF"/>
          <w:sz w:val="16"/>
          <w:vertAlign w:val="superscript"/>
        </w:rPr>
        <w:t xml:space="preserve"> [1]</w:t>
      </w:r>
      <w:r>
        <w:rPr>
          <w:i w:val="0"/>
        </w:rPr>
        <w:t xml:space="preserve"> e o seu regulamento interno de licitações. Quando o dinheiro vem de um organismo internacional, a própria lei previa, no artigo 42, </w:t>
      </w:r>
      <w:commentRangeStart w:id="1"/>
      <w:r>
        <w:rPr>
          <w:i w:val="0"/>
          <w:color w:val="0000FF"/>
        </w:rPr>
        <w:t>inciso 5o</w:t>
      </w:r>
      <w:commentRangeEnd w:id="1"/>
      <w:r>
        <w:rPr>
          <w:rStyle w:val="CommentReference"/>
        </w:rPr>
        <w:commentReference w:id="1"/>
      </w:r>
      <w:r>
        <w:rPr>
          <w:color w:val="0000FF"/>
          <w:sz w:val="16"/>
          <w:vertAlign w:val="superscript"/>
        </w:rPr>
        <w:t xml:space="preserve"> [2]</w:t>
      </w:r>
      <w:r>
        <w:rPr>
          <w:i w:val="0"/>
        </w:rPr>
        <w:t xml:space="preserve">, </w:t>
      </w:r>
      <w:commentRangeStart w:id="2"/>
      <w:r>
        <w:rPr>
          <w:i w:val="0"/>
          <w:color w:val="0000FF"/>
        </w:rPr>
        <w:t>que a licitação ocorresse nas condições e procedimentos adotados pelos acordos internacionais</w:t>
      </w:r>
      <w:commentRangeEnd w:id="2"/>
      <w:r>
        <w:rPr>
          <w:rStyle w:val="CommentReference"/>
        </w:rPr>
        <w:commentReference w:id="2"/>
      </w:r>
      <w:r>
        <w:rPr>
          <w:color w:val="0000FF"/>
          <w:sz w:val="16"/>
          <w:vertAlign w:val="superscript"/>
        </w:rPr>
        <w:t xml:space="preserve"> [3]</w:t>
      </w:r>
      <w:r>
        <w:rPr>
          <w:i w:val="0"/>
        </w:rPr>
        <w:t xml:space="preserve">. </w:t>
      </w:r>
      <w:commentRangeStart w:id="3"/>
      <w:r>
        <w:rPr>
          <w:i w:val="0"/>
          <w:color w:val="0000FF"/>
        </w:rPr>
        <w:t>No caso em questão, ficou estabelecido no contrato de empréstimo que o mutuário deveria utilizar as regras e documentos do organismo credor.</w:t>
      </w:r>
      <w:commentRangeEnd w:id="3"/>
      <w:r>
        <w:rPr>
          <w:rStyle w:val="CommentReference"/>
        </w:rPr>
        <w:commentReference w:id="3"/>
      </w:r>
      <w:r>
        <w:rPr>
          <w:color w:val="0000FF"/>
          <w:sz w:val="16"/>
          <w:vertAlign w:val="superscript"/>
        </w:rPr>
        <w:t xml:space="preserve"> [4]</w:t>
      </w:r>
      <w:r>
        <w:rPr>
          <w:i w:val="0"/>
        </w:rPr>
        <w:t xml:space="preserve"> Esses documentos são os mesmos utilizados no mundo todo, não apenas no Brasil. Dessa maneira, o edital seguiu o modelo-padrão do financiador, com seções fixas, tabelas padronizadas e exigências de apresentação de informações por parte dos licitantes.</w:t>
      </w:r>
    </w:p>
    <w:p>
      <w:pPr>
        <w:spacing w:after="200"/>
        <w:jc w:val="both"/>
      </w:pPr>
      <w:r>
        <w:rPr>
          <w:i w:val="0"/>
        </w:rPr>
        <w:t xml:space="preserve">A área de licitações da empresa </w:t>
      </w:r>
      <w:commentRangeStart w:id="4"/>
      <w:r>
        <w:rPr>
          <w:i w:val="0"/>
          <w:color w:val="0000FF"/>
        </w:rPr>
        <w:t>[experiência anterior]</w:t>
      </w:r>
      <w:commentRangeEnd w:id="4"/>
      <w:r>
        <w:rPr>
          <w:rStyle w:val="CommentReference"/>
        </w:rPr>
        <w:commentReference w:id="4"/>
      </w:r>
      <w:r>
        <w:rPr>
          <w:color w:val="0000FF"/>
          <w:sz w:val="16"/>
          <w:vertAlign w:val="superscript"/>
        </w:rPr>
        <w:t xml:space="preserve"> [5]</w:t>
      </w:r>
      <w:r>
        <w:rPr>
          <w:i w:val="0"/>
        </w:rPr>
        <w:t xml:space="preserve">. A Comissão presidida por </w:t>
      </w:r>
      <w:commentRangeStart w:id="5"/>
      <w:r>
        <w:rPr>
          <w:i w:val="0"/>
          <w:color w:val="0000FF"/>
        </w:rPr>
        <w:t>[Nome]</w:t>
      </w:r>
      <w:commentRangeEnd w:id="5"/>
      <w:r>
        <w:rPr>
          <w:rStyle w:val="CommentReference"/>
        </w:rPr>
        <w:commentReference w:id="5"/>
      </w:r>
      <w:r>
        <w:rPr>
          <w:color w:val="0000FF"/>
          <w:sz w:val="16"/>
          <w:vertAlign w:val="superscript"/>
        </w:rPr>
        <w:t xml:space="preserve"> [6]</w:t>
      </w:r>
      <w:r>
        <w:rPr>
          <w:i w:val="0"/>
        </w:rPr>
        <w:t xml:space="preserve"> tinha </w:t>
      </w:r>
      <w:r>
        <w:rPr>
          <w:i w:val="0"/>
          <w:color w:val="0000FF"/>
        </w:rPr>
        <w:t>[composição]</w:t>
      </w:r>
      <w:r>
        <w:rPr>
          <w:color w:val="0000FF"/>
          <w:sz w:val="16"/>
          <w:vertAlign w:val="superscript"/>
        </w:rPr>
        <w:t xml:space="preserve"> [6]</w:t>
      </w:r>
      <w:r>
        <w:rPr>
          <w:i w:val="0"/>
        </w:rPr>
        <w:t xml:space="preserve">. </w:t>
      </w:r>
      <w:commentRangeStart w:id="6"/>
      <w:r>
        <w:rPr>
          <w:i w:val="0"/>
          <w:color w:val="0000FF"/>
        </w:rPr>
        <w:t>Acima dela estava o diretor financeiro da instituição, superior institucional da protagonista.</w:t>
      </w:r>
      <w:commentRangeEnd w:id="6"/>
      <w:r>
        <w:rPr>
          <w:rStyle w:val="CommentReference"/>
        </w:rPr>
        <w:commentReference w:id="6"/>
      </w:r>
      <w:r>
        <w:rPr>
          <w:color w:val="0000FF"/>
          <w:sz w:val="16"/>
          <w:vertAlign w:val="superscript"/>
        </w:rPr>
        <w:t xml:space="preserve"> [7]</w:t>
      </w:r>
    </w:p>
    <w:p>
      <w:pPr>
        <w:spacing w:after="200"/>
        <w:jc w:val="both"/>
      </w:pPr>
      <w:r>
        <w:rPr>
          <w:i w:val="0"/>
        </w:rPr>
        <w:t xml:space="preserve">O financiamento tinha calendário. Em dezembro de 2022 o acordo de empréstimo encerraria. Em operações desse tipo, atrasos nas etapas iniciais comprimem o cronograma das entregas. </w:t>
      </w:r>
      <w:commentRangeStart w:id="7"/>
      <w:r>
        <w:rPr>
          <w:i w:val="0"/>
          <w:color w:val="0000FF"/>
        </w:rPr>
        <w:t>O saldo não desembolsado no prazo significa, de forma bem resumida, que do cidadão vai devolver um dinheiro ao banco que o próprio banco disponibilizou para uso imediato.</w:t>
      </w:r>
      <w:commentRangeEnd w:id="7"/>
      <w:r>
        <w:rPr>
          <w:rStyle w:val="CommentReference"/>
        </w:rPr>
        <w:commentReference w:id="7"/>
      </w:r>
      <w:r>
        <w:rPr>
          <w:color w:val="0000FF"/>
          <w:sz w:val="16"/>
          <w:vertAlign w:val="superscript"/>
        </w:rPr>
        <w:t xml:space="preserve"> [8]</w:t>
      </w:r>
      <w:r>
        <w:rPr>
          <w:i w:val="0"/>
        </w:rPr>
        <w:t xml:space="preserve"> Afinal, quem faz um empréstimo no banco para não usar o crédito?</w:t>
      </w:r>
    </w:p>
    <w:p>
      <w:pPr>
        <w:spacing w:before="320"/>
      </w:pPr>
      <w:r>
        <w:rPr>
          <w:b/>
        </w:rPr>
        <w:t>Quadro de alterações sugeridas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fill="D9E2F3"/>
          </w:tcPr>
          <w:p>
            <w:r/>
            <w:r>
              <w:rPr>
                <w:b/>
                <w:sz w:val="20"/>
              </w:rPr>
              <w:t>Nº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b/>
                <w:sz w:val="20"/>
              </w:rPr>
              <w:t>Trecho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3231"/>
            <w:shd w:val="clear" w:fill="D9E2F3"/>
          </w:tcPr>
          <w:p>
            <w:r/>
            <w:r>
              <w:rPr>
                <w:b/>
                <w:sz w:val="20"/>
              </w:rPr>
              <w:t>Sugestão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“Lei 8.666/93” e o trecho riscado “13.303/2016”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Nos documentos do caso só a 8.666/93 aparece para a CENTRAL (Apostila). Mas, como empresa pública, a 13.303/2016 costuma ser a lei aplicável.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Decidir após conferir o regulamento interno. Opção: “seguiam a Lei 13.303/2016 e o seu regulamento interno; para recursos de organismos internacionais, a referência era o art. 42, § 5º, da Lei 8.666/93.”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“artigo 42, inciso 5o”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Erro de remissão: é parágrafo.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“artigo 42, § 5º”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“que a licitação ocorresse nas condições [...]”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O dispositivo é permissivo (“poderão ser admitidas”).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“que a licitação admitisse as condições e os procedimentos adotados pelos acordos internacionais”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“ficou estabelecido no contrato de empréstimo [...]”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Falta fonte; a cláusula do Acordo não pôde ser lida.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Acrescentar: “(Acordo de Empréstimo 8117-BR e Diretrizes do Banco Mundial de janeiro de 2011)”.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“[experiência anterior]”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Placeholder. Documentado: consultora indicada pelo Banco elaborou o edital e a apostila.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“A área de licitações da empresa conhecia a licitação nacional, mas não as Diretrizes do Banco Mundial para seleção de consultores. Por isso o Banco indicou uma especialista, contratada para elaborar a minuta do edital e orientar a Comissão.” (confirmar a 1ª frase)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“[Nome]” e “[composição]”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Placeholders.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“A Comissão presidida por Luciana tinha três integrantes e contava com uma Comissão de Avaliação, também de três, para analisar as propostas.”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“Acima dela estava o diretor financeiro [...]”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O organograma sugere o contrário: a Comissão tinha o cabeçalho da Presidência, e a diretoria financeira era o canal com a Fazenda.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“Ao lado da Comissão, a diretoria financeira era o canal da empresa com a Fazenda.” (confirmar o organograma)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“O saldo não desembolsado [...] que do cidadão vai devolver [...]”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Erro de mecânica: o saldo não desembolsado não é devolvido; e há erro de digitação.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“O saldo não desembolsado até o encerramento deixava de poder ser sacado, e o que fosse entregue depois teria de ser pago com recursos do próprio Estado.”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CL" w:date="2026-10-20T23:37:53Z">
    <w:p>
      <w:pPr>
        <w:pStyle w:val="CommentText"/>
      </w:pPr>
      <w:r>
        <w:rPr>
          <w:rStyle w:val="CommentReference"/>
        </w:rPr>
        <w:annotationRef/>
      </w:r>
      <w:r>
        <w:t>Nos documentos do caso, a única lei citada para a licitação da CENTRAL é a 8.666/93, na Apostila de Aquisições do BIRD (Anexo 48, SEI 47830771), que guiou a Comissão. A Lei 13.303/2016 só aparece em referência a outra empresa (COMPESA, Pernambuco; Anexos 10 e 22_23_4). Mas, sendo a CENTRAL uma empresa pública, a Lei 13.303/2016 é, em regra, a que rege suas licitações. Confirmar no Regulamento Interno de Licitações e Contratos da CENTRAL (Nota Técnica, item 61) e decidir o que manter.</w:t>
      </w:r>
    </w:p>
  </w:comment>
  <w:comment w:id="1" w:author="Claude" w:initials="CL" w:date="2026-10-20T23:37:53Z">
    <w:p>
      <w:pPr>
        <w:pStyle w:val="CommentText"/>
      </w:pPr>
      <w:r>
        <w:rPr>
          <w:rStyle w:val="CommentReference"/>
        </w:rPr>
        <w:annotationRef/>
      </w:r>
      <w:r>
        <w:t>A regra está no art. 42, § 5º (parágrafo), e não “inciso 5º”. A Apostila cita o “parágrafo 5º” do art. 42 da Lei 8.666/93 (Anexo 48, p. 112).</w:t>
      </w:r>
    </w:p>
  </w:comment>
  <w:comment w:id="2" w:author="Claude" w:initials="CL" w:date="2026-10-20T23:37:53Z">
    <w:p>
      <w:pPr>
        <w:pStyle w:val="CommentText"/>
      </w:pPr>
      <w:r>
        <w:rPr>
          <w:rStyle w:val="CommentReference"/>
        </w:rPr>
        <w:annotationRef/>
      </w:r>
      <w:r>
        <w:t>O § 5º é permissivo: “poderão ser admitidas, na respectiva licitação, as condições [...] bem como as normas e procedimentos daquelas entidades”. “Ocorresse” sugere obrigação. Sugestão: “admitia que a licitação seguisse as normas e procedimentos [...]”.</w:t>
      </w:r>
    </w:p>
  </w:comment>
  <w:comment w:id="3" w:author="Claude" w:initials="CL" w:date="2026-10-20T23:37:53Z">
    <w:p>
      <w:pPr>
        <w:pStyle w:val="CommentText"/>
      </w:pPr>
      <w:r>
        <w:rPr>
          <w:rStyle w:val="CommentReference"/>
        </w:rPr>
        <w:annotationRef/>
      </w:r>
      <w:r>
        <w:t>Citar a fonte. A Apostila diz que as licitações com recursos externos “devem seguir as regras do agente financiador, conforme previsto nos respectivos acordos”; o edital se declara conforme as Diretrizes do Banco Mundial de janeiro de 2011; a Nota Técnica (item 3) diz que valem as regras do organismo, e não a legislação nacional. A cláusula do Acordo de Empréstimo (Anexo 45_1, escaneado) não pôde ser lida no texto extraído.</w:t>
      </w:r>
    </w:p>
  </w:comment>
  <w:comment w:id="4" w:author="Claude" w:initials="CL" w:date="2026-10-20T23:37:53Z">
    <w:p>
      <w:pPr>
        <w:pStyle w:val="CommentText"/>
      </w:pPr>
      <w:r>
        <w:rPr>
          <w:rStyle w:val="CommentReference"/>
        </w:rPr>
        <w:annotationRef/>
      </w:r>
      <w:r>
        <w:t>Placeholder. Documentado: uma consultora especialista, indicada pelo Banco, foi contratada, elaborou a minuta do edital e a apostila que guiou a Comissão (Nota Técnica, itens 7 a 9, 22 e 153); a seleção do CIMU Sistema corria em paralelo, também por SBQC (itens 21 a 24). Que a área não tinha experiência com as regras do Banco não consta dos documentos: confirmar.</w:t>
      </w:r>
    </w:p>
  </w:comment>
  <w:comment w:id="5" w:author="Claude" w:initials="CL" w:date="2026-10-20T23:37:53Z">
    <w:p>
      <w:pPr>
        <w:pStyle w:val="CommentText"/>
      </w:pPr>
      <w:r>
        <w:rPr>
          <w:rStyle w:val="CommentReference"/>
        </w:rPr>
        <w:annotationRef/>
      </w:r>
      <w:r>
        <w:t>[Nome]: usar o nome fictício já adotado (Luciana). [composição]: a Comissão de Licitação tinha três integrantes (Clarice Paiva, Renata Vianna e Isabel Petrucci) e a Comissão de Avaliação, três (Sergio Marcolini, Heraldo Magioli e Paulo Guimarães), reduzida a dois em agosto de 2021 (Anexo 43_2; Nota Técnica, item 135).</w:t>
      </w:r>
    </w:p>
  </w:comment>
  <w:comment w:id="6" w:author="Claude" w:initials="CL" w:date="2026-10-20T23:37:53Z">
    <w:p>
      <w:pPr>
        <w:pStyle w:val="CommentText"/>
      </w:pPr>
      <w:r>
        <w:rPr>
          <w:rStyle w:val="CommentReference"/>
        </w:rPr>
        <w:annotationRef/>
      </w:r>
      <w:r>
        <w:t>Verificar o organograma. O despacho de 22/07/2022 da Comissão traz o cabeçalho da Presidência e é dirigido à DIRAF, e a Nota Técnica (item 75) diz que a DIRAF faz o contato da CENTRAL com a SEFAZ. Isso sugere que a diretoria financeira era o canal, e não o superior hierárquico da Comissão.</w:t>
      </w:r>
    </w:p>
  </w:comment>
  <w:comment w:id="7" w:author="Claude" w:initials="CL" w:date="2026-10-20T23:37:53Z">
    <w:p>
      <w:pPr>
        <w:pStyle w:val="CommentText"/>
      </w:pPr>
      <w:r>
        <w:rPr>
          <w:rStyle w:val="CommentReference"/>
        </w:rPr>
        <w:annotationRef/>
      </w:r>
      <w:r>
        <w:t>Erro de mecânica e de digitação (“que do cidadão”). O saldo não desembolsado não é “devolvido”: deixa de poder ser sacado. O risco documentado é outro: após o encerramento (30/12/2022, mais o período de graça), o contrato não seria coberto pelo Acordo e teria de ser pago com recursos próprios do Estado (Nota Técnica, itens 150 e 151; ata de 26/08/2021). Empréstimos desse tipo costumam ter taxa de compromisso sobre o saldo não desembolsado: confirmar no Acordo antes de afirmar.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