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824"/>
            <w:shd w:val="clear" w:fill="D9E2F3"/>
          </w:tcPr>
          <w:p>
            <w:r/>
            <w:r>
              <w:rPr>
                <w:b/>
              </w:rPr>
              <w:t>Evento</w:t>
            </w:r>
          </w:p>
        </w:tc>
      </w:tr>
      <w:tr>
        <w:tc>
          <w:tcPr>
            <w:tcW w:type="dxa" w:w="1814"/>
          </w:tcPr>
          <w:p>
            <w:r>
              <w:t>05/09/2012</w:t>
            </w:r>
          </w:p>
        </w:tc>
        <w:tc>
          <w:tcPr>
            <w:tcW w:type="dxa" w:w="7824"/>
          </w:tcPr>
          <w:p>
            <w:r>
              <w:t>Assinatura do contrato de empréstimo com o Organismo financiador (Empréstimo 8117-BR, BIRD).</w:t>
            </w:r>
          </w:p>
        </w:tc>
      </w:tr>
      <w:tr>
        <w:tc>
          <w:tcPr>
            <w:tcW w:type="dxa" w:w="1814"/>
          </w:tcPr>
          <w:p>
            <w:r>
              <w:t>11/03 a 19/05/2020</w:t>
            </w:r>
          </w:p>
        </w:tc>
        <w:tc>
          <w:tcPr>
            <w:tcW w:type="dxa" w:w="7824"/>
          </w:tcPr>
          <w:p>
            <w:r>
              <w:t>Pandemia de COVID-19: decretos de contenção e de calamidade (13 e 20/03). O Banco só autoriza a análise virtual dos portfólios em 19/05.</w:t>
            </w:r>
          </w:p>
        </w:tc>
      </w:tr>
      <w:tr>
        <w:tc>
          <w:tcPr>
            <w:tcW w:type="dxa" w:w="1814"/>
          </w:tcPr>
          <w:p>
            <w:r>
              <w:t>20/08/2020</w:t>
            </w:r>
          </w:p>
        </w:tc>
        <w:tc>
          <w:tcPr>
            <w:tcW w:type="dxa" w:w="7824"/>
          </w:tcPr>
          <w:p>
            <w:r>
              <w:t>Edital (SDP nº 003/2020), com base no modelo-padrão do financiador, enviado à lista curta. A Solicitação de Manifestação de Interesse fora publicada em 16/01/2020.</w:t>
            </w:r>
          </w:p>
        </w:tc>
      </w:tr>
      <w:tr>
        <w:tc>
          <w:tcPr>
            <w:tcW w:type="dxa" w:w="1814"/>
          </w:tcPr>
          <w:p>
            <w:r>
              <w:t>21/12/2020</w:t>
            </w:r>
          </w:p>
        </w:tc>
        <w:tc>
          <w:tcPr>
            <w:tcW w:type="dxa" w:w="7824"/>
          </w:tcPr>
          <w:p>
            <w:r>
              <w:t>Fim da validade das propostas (Folha de Dados, cláusula 12.1: 90 dias corridos após o prazo final). As propostas financeiras só foram abertas em 12/01/2021.</w:t>
            </w:r>
          </w:p>
        </w:tc>
      </w:tr>
      <w:tr>
        <w:tc>
          <w:tcPr>
            <w:tcW w:type="dxa" w:w="1814"/>
          </w:tcPr>
          <w:p>
            <w:r>
              <w:t>12/01/2021</w:t>
            </w:r>
          </w:p>
        </w:tc>
        <w:tc>
          <w:tcPr>
            <w:tcW w:type="dxa" w:w="7824"/>
          </w:tcPr>
          <w:p>
            <w:r>
              <w:t>Abertura das propostas financeiras e surgimento da dúvida sobre tributos: cada licitante apresentou os impostos de forma diferente (dúvida já surgida no certame paralelo do CIMU Sistema).</w:t>
            </w:r>
          </w:p>
        </w:tc>
      </w:tr>
      <w:tr>
        <w:tc>
          <w:tcPr>
            <w:tcW w:type="dxa" w:w="1814"/>
          </w:tcPr>
          <w:p>
            <w:r>
              <w:t>04/02 e 12/04/2021</w:t>
            </w:r>
          </w:p>
        </w:tc>
        <w:tc>
          <w:tcPr>
            <w:tcW w:type="dxa" w:w="7824"/>
          </w:tcPr>
          <w:p>
            <w:r>
              <w:t>Consulta ao especialista em licitações do Banco e respostas: na negociação só será discutido o ISS (04/02); não há incidência de IR e ISS sobre pagamento em dólares (12/04).</w:t>
            </w:r>
          </w:p>
        </w:tc>
      </w:tr>
      <w:tr>
        <w:tc>
          <w:tcPr>
            <w:tcW w:type="dxa" w:w="1814"/>
          </w:tcPr>
          <w:p>
            <w:r>
              <w:t>26/03 e 04/05/2021</w:t>
            </w:r>
          </w:p>
        </w:tc>
        <w:tc>
          <w:tcPr>
            <w:tcW w:type="dxa" w:w="7824"/>
          </w:tcPr>
          <w:p>
            <w:r>
              <w:t>Manifestações da consultoria: tabela de “Impostos totais” (26/03) e, reafirmando a posição, o Decreto nº 76.975/1976 (Brasil–Espanha) para sustentar IR e ISS (04/05).</w:t>
            </w:r>
          </w:p>
        </w:tc>
      </w:tr>
      <w:tr>
        <w:tc>
          <w:tcPr>
            <w:tcW w:type="dxa" w:w="1814"/>
          </w:tcPr>
          <w:p>
            <w:r>
              <w:t>21 e 24/06/2021</w:t>
            </w:r>
          </w:p>
        </w:tc>
        <w:tc>
          <w:tcPr>
            <w:tcW w:type="dxa" w:w="7824"/>
          </w:tcPr>
          <w:p>
            <w:r>
              <w:t>O Banco autoriza o pagamento direto da parcela em dólar (US$ 142.550,00). A CENTRAL consulta a DIRAF, que repassa a consulta à Secretaria de Estado de Fazenda (SEFAZ).</w:t>
            </w:r>
          </w:p>
        </w:tc>
      </w:tr>
      <w:tr>
        <w:tc>
          <w:tcPr>
            <w:tcW w:type="dxa" w:w="1814"/>
          </w:tcPr>
          <w:p>
            <w:r>
              <w:t>26/07/2021</w:t>
            </w:r>
          </w:p>
        </w:tc>
        <w:tc>
          <w:tcPr>
            <w:tcW w:type="dxa" w:w="7824"/>
          </w:tcPr>
          <w:p>
            <w:r>
              <w:t>Resposta da Fazenda (cerca de um mês depois), remetendo a decisão ao banco comercial: por telefone, a SEFAZ informa que aguarda a resposta do Bradesco sobre a incidência de impostos.</w:t>
            </w:r>
          </w:p>
        </w:tc>
      </w:tr>
      <w:tr>
        <w:tc>
          <w:tcPr>
            <w:tcW w:type="dxa" w:w="1814"/>
          </w:tcPr>
          <w:p>
            <w:r>
              <w:t>24 e 26/08/2021</w:t>
            </w:r>
          </w:p>
        </w:tc>
        <w:tc>
          <w:tcPr>
            <w:tcW w:type="dxa" w:w="7824"/>
          </w:tcPr>
          <w:p>
            <w:r>
              <w:t>Despachos da SEFAZ: o pagamento direto é “possível” (26/08); a dúvida sobre impostos segue para a Contabilidade. Reunião CENTRAL, SEFAZ e Casa Civil em 26/08.</w:t>
            </w:r>
          </w:p>
        </w:tc>
      </w:tr>
      <w:tr>
        <w:tc>
          <w:tcPr>
            <w:tcW w:type="dxa" w:w="1814"/>
          </w:tcPr>
          <w:p>
            <w:r>
              <w:t>13/09/2021</w:t>
            </w:r>
          </w:p>
        </w:tc>
        <w:tc>
          <w:tcPr>
            <w:tcW w:type="dxa" w:w="7824"/>
          </w:tcPr>
          <w:p>
            <w:r>
              <w:t>A CENTRAL envia ao Banco a Decisão da Receita Federal (SRRF/10ª RF/DISIT nº 126/2000) e propõe incluir ISS e IRRF no contrato, com glosa ou aditivo se o entendimento mudar.</w:t>
            </w:r>
          </w:p>
        </w:tc>
      </w:tr>
      <w:tr>
        <w:tc>
          <w:tcPr>
            <w:tcW w:type="dxa" w:w="1814"/>
          </w:tcPr>
          <w:p>
            <w:r>
              <w:t>16 e 21/09/2021</w:t>
            </w:r>
          </w:p>
        </w:tc>
        <w:tc>
          <w:tcPr>
            <w:tcW w:type="dxa" w:w="7824"/>
          </w:tcPr>
          <w:p>
            <w:r>
              <w:t>Parecer contábil da SEFAZ/SUNOT, repassado pela DIRAF: levanta a imunidade recíproca e não define os impostos.</w:t>
            </w:r>
          </w:p>
        </w:tc>
      </w:tr>
      <w:tr>
        <w:tc>
          <w:tcPr>
            <w:tcW w:type="dxa" w:w="1814"/>
          </w:tcPr>
          <w:p>
            <w:r>
              <w:t>28/09/2021</w:t>
            </w:r>
          </w:p>
        </w:tc>
        <w:tc>
          <w:tcPr>
            <w:tcW w:type="dxa" w:w="7824"/>
          </w:tcPr>
          <w:p>
            <w:r>
              <w:t>A gerente de projeto do Banco, que cobrava a conclusão da licitação, aprova a proposta da CENTRAL.</w:t>
            </w:r>
          </w:p>
        </w:tc>
      </w:tr>
      <w:tr>
        <w:tc>
          <w:tcPr>
            <w:tcW w:type="dxa" w:w="1814"/>
          </w:tcPr>
          <w:p>
            <w:r>
              <w:t>30/11/2021</w:t>
            </w:r>
          </w:p>
        </w:tc>
        <w:tc>
          <w:tcPr>
            <w:tcW w:type="dxa" w:w="7824"/>
          </w:tcPr>
          <w:p>
            <w:r>
              <w:t>Assinatura do contrato, com ISS e IRRF (US$ 18.531,50 sobre US$ 142.550,00).</w:t>
            </w:r>
          </w:p>
        </w:tc>
      </w:tr>
      <w:tr>
        <w:tc>
          <w:tcPr>
            <w:tcW w:type="dxa" w:w="1814"/>
          </w:tcPr>
          <w:p>
            <w:r>
              <w:t>30/12/2022</w:t>
            </w:r>
          </w:p>
        </w:tc>
        <w:tc>
          <w:tcPr>
            <w:tcW w:type="dxa" w:w="7824"/>
          </w:tcPr>
          <w:p>
            <w:r>
              <w:t>Fim do Acordo de Empréstimo, data-limite do financiamento. A Ordem de Serviço saíra em 19/09/2022.</w:t>
            </w:r>
          </w:p>
        </w:tc>
      </w:tr>
      <w:tr>
        <w:tc>
          <w:tcPr>
            <w:tcW w:type="dxa" w:w="1814"/>
          </w:tcPr>
          <w:p>
            <w:r>
              <w:t>01/03 a 23/05/2023</w:t>
            </w:r>
          </w:p>
        </w:tc>
        <w:tc>
          <w:tcPr>
            <w:tcW w:type="dxa" w:w="7824"/>
          </w:tcPr>
          <w:p>
            <w:r>
              <w:t>Parecer da ASSJUR e aprovação da PGE: a CENTRAL não retém o IRRF, mas responde por PIS/COFINS, ISS e CIDE; recomenda-se consultar a Receita Federal e a Secretaria Municipal de Fazenda.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