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UM TRIBUTO, VÁRIAS CARAS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 O amarelo reproduz a marca do original.</w:t>
      </w:r>
    </w:p>
    <w:p>
      <w:pPr>
        <w:spacing w:after="200"/>
        <w:jc w:val="both"/>
      </w:pPr>
      <w:r>
        <w:rPr>
          <w:i w:val="0"/>
        </w:rPr>
        <w:t xml:space="preserve">Com o tempo, Luciana entendeu que a pergunta não tinha uma resposta só. Pela legislação brasileira, um pagamento a uma empresa estrangeira por serviços técnicos podia, em tese, atrair </w:t>
      </w:r>
      <w:commentRangeStart w:id="0"/>
      <w:r>
        <w:rPr>
          <w:i w:val="0"/>
          <w:color w:val="0000FF"/>
        </w:rPr>
        <w:t>até cinco cobranças diferentes: imposto de renda retido na fonte, CIDE, PIS e COFINS sobre importação de serviços, ISS e IOF sobre a operação de câmbio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(Apêndice C). Cada uma tinha sua lei, sua alíquota e seu responsável pelo recolhimento. Algumas talvez nem se aplicassem, a depender de onde o serviço seria executado, de onde seu resultado se verificaria, de como o contrato classificava a consultoria e do </w:t>
      </w:r>
      <w:commentRangeStart w:id="1"/>
      <w:r>
        <w:rPr>
          <w:i w:val="0"/>
          <w:color w:val="0000FF"/>
        </w:rPr>
        <w:t>tratado tributário entre o Brasil e a Espanha, se houvesse um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>.</w:t>
      </w:r>
    </w:p>
    <w:p>
      <w:pPr>
        <w:spacing w:after="200"/>
        <w:jc w:val="both"/>
      </w:pPr>
      <w:r>
        <w:rPr>
          <w:i w:val="0"/>
        </w:rPr>
        <w:t xml:space="preserve">O fato de a contratante ser uma empresa do Estado não simplificava as coisas. Quase todos esses tributos são federais, e o ISS é municipal, de modo que </w:t>
      </w:r>
      <w:commentRangeStart w:id="2"/>
      <w:r>
        <w:rPr>
          <w:i w:val="0"/>
          <w:color w:val="0000FF"/>
        </w:rPr>
        <w:t>nenhum deles era, em princípio, assunto da Fazenda estadual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rPr>
          <w:i w:val="0"/>
        </w:rPr>
        <w:t xml:space="preserve">. Havia ainda a dúvida sobre a imunidade tributária recíproca, que impede um ente federativo de cobrar impostos de outro. </w:t>
      </w:r>
      <w:commentRangeStart w:id="3"/>
      <w:r>
        <w:rPr>
          <w:i w:val="0"/>
          <w:color w:val="0000FF"/>
        </w:rPr>
        <w:t>Ela não alcança às contribuições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  <w:r>
        <w:rPr>
          <w:i w:val="0"/>
        </w:rPr>
        <w:t xml:space="preserve">, e sua extensão a empresas estatais depende da atividade e do regime de cada empresa. </w:t>
      </w:r>
      <w:commentRangeStart w:id="4"/>
      <w:r>
        <w:rPr>
          <w:i w:val="0"/>
          <w:color w:val="0000FF"/>
          <w:highlight w:val="yellow"/>
        </w:rPr>
        <w:t>[Confirmar se a imunidade foi discutida]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</w:p>
    <w:p>
      <w:pPr>
        <w:spacing w:after="200"/>
        <w:jc w:val="both"/>
      </w:pPr>
      <w:r>
        <w:rPr>
          <w:i w:val="0"/>
        </w:rPr>
        <w:t xml:space="preserve">Havia também a pergunta de quem arcaria com o tributo. Se o contrato dissesse que a consultoria receberia um valor líquido, livre de tributos, </w:t>
      </w:r>
      <w:commentRangeStart w:id="5"/>
      <w:r>
        <w:rPr>
          <w:i w:val="0"/>
          <w:color w:val="0000FF"/>
        </w:rPr>
        <w:t>a empresa teria de pagar o imposto por fora</w:t>
      </w:r>
      <w:commentRangeEnd w:id="5"/>
      <w:r>
        <w:rPr>
          <w:rStyle w:val="CommentReference"/>
        </w:rPr>
        <w:commentReference w:id="5"/>
      </w:r>
      <w:r>
        <w:rPr>
          <w:color w:val="0000FF"/>
          <w:sz w:val="16"/>
          <w:vertAlign w:val="superscript"/>
        </w:rPr>
        <w:t xml:space="preserve"> [6]</w:t>
      </w:r>
      <w:r>
        <w:rPr>
          <w:i w:val="0"/>
        </w:rPr>
        <w:t xml:space="preserve">, e a própria base de cálculo aumentaria (o chamado reajustamento da base, ou gross-up). Se o preço fosse considerado bruto, a consultoria receberia menos do que esperava. Num contrato de </w:t>
      </w:r>
      <w:commentRangeStart w:id="6"/>
      <w:r>
        <w:rPr>
          <w:i w:val="0"/>
          <w:color w:val="0000FF"/>
          <w:highlight w:val="yellow"/>
        </w:rPr>
        <w:t>[valor do contrato]</w:t>
      </w:r>
      <w:commentRangeEnd w:id="6"/>
      <w:r>
        <w:rPr>
          <w:rStyle w:val="CommentReference"/>
        </w:rPr>
        <w:commentReference w:id="6"/>
      </w:r>
      <w:r>
        <w:rPr>
          <w:color w:val="0000FF"/>
          <w:sz w:val="16"/>
          <w:vertAlign w:val="superscript"/>
        </w:rPr>
        <w:t xml:space="preserve"> [7]</w:t>
      </w:r>
      <w:r>
        <w:rPr>
          <w:i w:val="0"/>
        </w:rPr>
        <w:t xml:space="preserve">, </w:t>
      </w:r>
      <w:r>
        <w:rPr>
          <w:i w:val="0"/>
          <w:color w:val="0000FF"/>
        </w:rPr>
        <w:t>a distância entre as duas leituras era grande</w:t>
      </w:r>
      <w:r>
        <w:rPr>
          <w:color w:val="0000FF"/>
          <w:sz w:val="16"/>
          <w:vertAlign w:val="superscript"/>
        </w:rPr>
        <w:t xml:space="preserve"> [7]</w:t>
      </w:r>
      <w:r>
        <w:rPr>
          <w:i w:val="0"/>
        </w:rPr>
        <w:t xml:space="preserve"> (Apêndice D).</w:t>
      </w:r>
    </w:p>
    <w:p>
      <w:pPr>
        <w:spacing w:after="200"/>
        <w:jc w:val="both"/>
      </w:pPr>
      <w:commentRangeStart w:id="7"/>
      <w:r>
        <w:rPr>
          <w:i w:val="0"/>
          <w:color w:val="0000FF"/>
        </w:rPr>
        <w:t>O país ainda não tinha aprovado a reforma tributária que substituiria PIS, COFINS e ISS por novos tributos sobre o consumo, a CBS e o IBS, transição prevista para ocorrer a partir de 2026.</w:t>
      </w:r>
      <w:commentRangeEnd w:id="7"/>
      <w:r>
        <w:rPr>
          <w:rStyle w:val="CommentReference"/>
        </w:rPr>
        <w:commentReference w:id="7"/>
      </w:r>
      <w:r>
        <w:rPr>
          <w:color w:val="0000FF"/>
          <w:sz w:val="16"/>
          <w:vertAlign w:val="superscript"/>
        </w:rPr>
        <w:t xml:space="preserve"> [8]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“até cinco cobranças diferentes: [...] IOF”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CSLL, analisada pela DIRAF e pela ASSJUR, ficou de fora; a contagem depende de somar PIS e COFINS.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“até cinco ou seis cobranças diferentes”, ou incluir a CSLL na lista.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“tratado tributário [...] entre o Brasil e a Espanha, se houvesse um”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Há tratado (Decreto 76.975/1976), invocado pela consultoria e não examinado nos pareceres.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“[...] e do tratado entre o Brasil e a Espanha, invocado pela consultoria e que nenhum parecer examinou.”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“nenhum deles era, em princípio, assunto da Fazenda estadual”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SEFAZ esteve no caso pelo pagamento direto (câmbio simbólico, dívida do Estado).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Acrescentar: “A Fazenda estadual entrava por outro motivo: o pagamento direto mexia no registro do empréstimo.”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“Ela não alcança às contribuições”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regência.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“Ela não alcança as contribuições”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“[Confirmar se a imunidade foi discutida]”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Foi: SEFAZ/SUNOT (16/09/2021) e PGE (2023).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dúvida foi levantada pela Fazenda em setembro de 2021 e examinada pela PGE em 2023, que concluiu que a isenção prevista para entes públicos não se estendia à CENTRAL, por ser empresa pública.”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empresa teria de pagar o imposto por fora”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Ambíguo.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empresa pública teria de pagar o imposto por fora”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“[valor do contrato]” e “a distância entre as duas leituras era grande”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Placeholder e frase vaga.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“Num contrato de US$ 142.550 na parcela em dólar, a distância entre as leituras ia de zero a cerca de US$ 35 mil, ou 24% (Apêndice D).”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país ainda não tinha aprovado a reforma [...] a partir de 2026.”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Mistura de tempos; a reforma não alcança IRRF, CIDE nem IOF.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“Em 2023, quando os pareceres foram emitidos, a reforma tributária sobre o consumo ainda não estava aprovada. Ela trocaria PIS, COFINS e ISS por CBS e IBS, mas não mexeria em IRRF, CIDE nem IOF.” (verificar o calendário)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A lista não inclui a CSLL, que a DIRAF e a ASSJUR também analisaram (a PGE concluiu que não incide). A contagem “cinco” só fecha se PIS e COFINS forem somadas como uma cobrança. Sugestão: dizer “cinco ou seis cobranças” ou incluir a CSLL entre as possíveis.</w:t>
      </w:r>
    </w:p>
  </w:comment>
  <w:comment w:id="1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Há tratado: a consultoria invocou o Decreto nº 76.975/1976 (Convenção Brasil–Espanha, Anexo 12, e-mail de 04/05/2021). Nenhum parecer, nem o da PGE, o analisou. A Decisão da Receita (2000) diz, para serviços técnicos sem transferência de tecnologia, que as convenções não afastam a tributação na fonte (Ato Declaratório COSIT nº 1/2000). Sugestão: citar o tratado e dizer que não foi examinado.</w:t>
      </w:r>
    </w:p>
  </w:comment>
  <w:comment w:id="2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Nuance: a SEFAZ esteve no caso por outro motivo: o pagamento direto exige “câmbio simbólico” e o registro do empréstimo na dívida do Estado (despachos de 24 e 26/08/2021). A Decisão da Receita diz que o IRRF pago pelo Estado ou por suas autarquias e fundações pertence ao Estado (CF, art. 157, I); a regra não cita empresas públicas. Sugestão: explicar o papel da SEFAZ.</w:t>
      </w:r>
    </w:p>
  </w:comment>
  <w:comment w:id="3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Erro de regência: “não alcança as contribuições”. O conteúdo está correto: a imunidade recíproca vale para impostos, e CIDE, PIS e COFINS são contribuições.</w:t>
      </w:r>
    </w:p>
  </w:comment>
  <w:comment w:id="4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Sim, foi discutida. Despacho da SEFAZ/SUNOT de 16/09/2021 (Anexo 35_3) levantou a imunidade recíproca e a jurisprudência do STF. A PGE (Coordenadoria, 09/03/2023) pesquisou precedentes e só achou o caso da Fiocruz (ICMS). O Parecer 14 (item 50) concluiu que a isenção prevista para entes federativos, autarquias e fundações não se estende à CENTRAL, por ser empresa pública.</w:t>
      </w:r>
    </w:p>
  </w:comment>
  <w:comment w:id="5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“A empresa” é ambíguo: aqui é a empresa pública contratante. O conceito de gross-up confere com a Decisão da Receita (reajustamento do rendimento bruto).</w:t>
      </w:r>
    </w:p>
  </w:comment>
  <w:comment w:id="6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Placeholder e frase vaga. Valor: US$ 142.550,00 na parcela em dólar (mais R$ 933.550,00 em reais); a cláusula 38.1 do contrato diz US$ 142.500. A distância entre as leituras, no Apêndice D, vai de zero (posição do Banco) a cerca de US$ 35 mil (PGE: US$ 34.568,38), ou 24,3%.</w:t>
      </w:r>
    </w:p>
  </w:comment>
  <w:comment w:id="7" w:author="Claude" w:initials="CL" w:date="2026-10-20T23:42:32Z">
    <w:p>
      <w:pPr>
        <w:pStyle w:val="CommentText"/>
      </w:pPr>
      <w:r>
        <w:rPr>
          <w:rStyle w:val="CommentReference"/>
        </w:rPr>
        <w:annotationRef/>
      </w:r>
      <w:r>
        <w:t>Tempo verbal e escopo. Em 2023, quando saíram os pareceres, a reforma não estava aprovada (a EC 132 é de 20/12/2023), mas a frase soma o “ainda não” de 2021 com o “a partir de 2026”, que só se sabe depois. Além disso, a reforma substitui PIS, COFINS e ISS, mas não IRRF, CIDE nem IOF: não teria resolvido a questão. Verificar o calendário vigente.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