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D9E2F3"/>
          </w:tcPr>
          <w:p>
            <w:r/>
            <w:r>
              <w:rPr>
                <w:b/>
              </w:rPr>
              <w:t>Item (US$)</w:t>
            </w:r>
          </w:p>
        </w:tc>
        <w:tc>
          <w:tcPr>
            <w:tcW w:type="dxa" w:w="2040"/>
            <w:shd w:val="clear" w:fill="D9E2F3"/>
          </w:tcPr>
          <w:p>
            <w:r/>
            <w:r>
              <w:rPr>
                <w:b/>
              </w:rPr>
              <w:t>Hipótese 1: nenhum tributo incide</w:t>
            </w:r>
          </w:p>
        </w:tc>
        <w:tc>
          <w:tcPr>
            <w:tcW w:type="dxa" w:w="2040"/>
            <w:shd w:val="clear" w:fill="D9E2F3"/>
          </w:tcPr>
          <w:p>
            <w:r/>
            <w:r>
              <w:rPr>
                <w:b/>
              </w:rPr>
              <w:t>Hipótese 2: tributos incidem e o preço é bruto</w:t>
            </w:r>
          </w:p>
        </w:tc>
        <w:tc>
          <w:tcPr>
            <w:tcW w:type="dxa" w:w="2040"/>
            <w:shd w:val="clear" w:fill="D9E2F3"/>
          </w:tcPr>
          <w:p>
            <w:r/>
            <w:r>
              <w:rPr>
                <w:b/>
              </w:rPr>
              <w:t>Hipótese 3: tributos incidem com gross-up</w:t>
            </w:r>
          </w:p>
        </w:tc>
        <w:tc>
          <w:tcPr>
            <w:tcW w:type="dxa" w:w="2040"/>
            <w:shd w:val="clear" w:fill="D9E2F3"/>
          </w:tcPr>
          <w:p>
            <w:r/>
            <w:r>
              <w:rPr>
                <w:b/>
              </w:rPr>
              <w:t>Contrato assinado (ISS e IRRF incluídos)</w:t>
            </w:r>
          </w:p>
        </w:tc>
      </w:tr>
      <w:tr>
        <w:tc>
          <w:tcPr>
            <w:tcW w:type="dxa" w:w="2040"/>
          </w:tcPr>
          <w:p>
            <w:r/>
            <w:r>
              <w:t>Valor recebido pela consultoria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142.550,00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121.167,50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142.550,00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142.550,00</w:t>
            </w:r>
          </w:p>
        </w:tc>
      </w:tr>
      <w:tr>
        <w:tc>
          <w:tcPr>
            <w:tcW w:type="dxa" w:w="2040"/>
          </w:tcPr>
          <w:p>
            <w:r/>
            <w:r>
              <w:t>IRRF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21.382,50 (retido do preço)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25.155,88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14.255,00 (10%)</w:t>
            </w:r>
          </w:p>
        </w:tc>
      </w:tr>
      <w:tr>
        <w:tc>
          <w:tcPr>
            <w:tcW w:type="dxa" w:w="2040"/>
          </w:tcPr>
          <w:p>
            <w:r/>
            <w:r>
              <w:t>CIDE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14.255,00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16.770,59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0</w:t>
            </w:r>
          </w:p>
        </w:tc>
      </w:tr>
      <w:tr>
        <w:tc>
          <w:tcPr>
            <w:tcW w:type="dxa" w:w="2040"/>
          </w:tcPr>
          <w:p>
            <w:r/>
            <w:r>
              <w:t>PIS/COFINS-Importação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13.185,88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15.512,79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0</w:t>
            </w:r>
          </w:p>
        </w:tc>
      </w:tr>
      <w:tr>
        <w:tc>
          <w:tcPr>
            <w:tcW w:type="dxa" w:w="2040"/>
          </w:tcPr>
          <w:p>
            <w:r/>
            <w:r>
              <w:t>ISS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7.127,50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8.385,29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4.276,50 (3%)</w:t>
            </w:r>
          </w:p>
        </w:tc>
      </w:tr>
      <w:tr>
        <w:tc>
          <w:tcPr>
            <w:tcW w:type="dxa" w:w="2040"/>
          </w:tcPr>
          <w:p>
            <w:r/>
            <w:r>
              <w:t>IOF-Câmbio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460,44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541,69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t>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</w:rPr>
              <w:t>Custo total para a empresa pública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rPr>
                <w:b/>
              </w:rPr>
              <w:t>142.550,00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rPr>
                <w:b/>
              </w:rPr>
              <w:t>177.578,82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rPr>
                <w:b/>
              </w:rPr>
              <w:t>208.916,24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rPr>
                <w:b/>
              </w:rPr>
              <w:t>161.081,50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</w:rPr>
              <w:t>Diferença em relação à Hipótese 1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rPr>
                <w:b/>
              </w:rPr>
              <w:t>0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rPr>
                <w:b/>
              </w:rPr>
              <w:t>+24,6%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rPr>
                <w:b/>
              </w:rPr>
              <w:t>+46,6%</w:t>
            </w:r>
          </w:p>
        </w:tc>
        <w:tc>
          <w:tcPr>
            <w:tcW w:type="dxa" w:w="2040"/>
          </w:tcPr>
          <w:p>
            <w:pPr>
              <w:jc w:val="right"/>
            </w:pPr>
            <w:r/>
            <w:r>
              <w:rPr>
                <w:b/>
              </w:rPr>
              <w:t>+13,0%</w:t>
            </w:r>
          </w:p>
        </w:tc>
      </w:tr>
    </w:tbl>
    <w:p>
      <w:r>
        <w:rPr>
          <w:i/>
          <w:sz w:val="18"/>
        </w:rPr>
        <w:t>Simulação didática com base na parcela em dólar do contrato em discussão, de US$ 142.550,00 (excluídos os impostos), paga diretamente ao exterior. Premissas das hipóteses 1 a 3: IRRF de 15%, ISS de 5%, CIDE de 10%, PIS/COFINS-Importação de 9,25% sem cálculo “por dentro”, IOF de 0,38% sobre o valor remetido, nenhum tratado aplicado. A coluna “Contrato assinado” reproduz os impostos efetivamente incluídos no contrato (ISS de US$ 4.276,50 e IRRF de US$ 14.255,00, total de US$ 18.531,50). Valores em dólar por simplificação; na prática, os tributos são calculados em reais, na data do pagamento. A parcela em reais do contrato (R$ 933.550,00), paga a empresas nacionais, não entra na simulação. Totais somam as linhas arredondadas.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