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CENTRAL — Avaliação de Conformidade Normativa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POP de Contratação Direta ou por Inexigibilidade</w:t>
      </w:r>
    </w:p>
    <w:p>
      <w:pPr>
        <w:spacing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Etapa 5: POP × hierarquia normativa. Proposta de apresentação (rascunho para validação)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Versão do POP analisada: </w:t>
      </w:r>
      <w:r>
        <w:rPr>
          <w:rFonts w:ascii="Arial" w:cs="Arial" w:eastAsia="Arial" w:hAnsi="Arial"/>
          <w:sz w:val="20"/>
          <w:szCs w:val="20"/>
        </w:rPr>
        <w:t xml:space="preserve">[indicar versão e data do POP vigente]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Norma utilizada como parâmetro: </w:t>
      </w:r>
      <w:r>
        <w:rPr>
          <w:rFonts w:ascii="Arial" w:cs="Arial" w:eastAsia="Arial" w:hAnsi="Arial"/>
          <w:sz w:val="20"/>
          <w:szCs w:val="20"/>
        </w:rPr>
        <w:t xml:space="preserve">Lei 13.303/2016; Decreto Estadual 46.188/2017; Estatuto Social; Regimento Interno; RILC vigente (versão 2.0, maio/2023); Lei Estadual 7.753/2017.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e prazo de cada ajuste: </w:t>
      </w:r>
      <w:r>
        <w:rPr>
          <w:rFonts w:ascii="Arial" w:cs="Arial" w:eastAsia="Arial" w:hAnsi="Arial"/>
          <w:sz w:val="20"/>
          <w:szCs w:val="20"/>
        </w:rPr>
        <w:t xml:space="preserve">a definir pelo gestor do POP, conforme o Programa de Conformidade. Classificação formal (Conforme com Ressalva, Não Conforme, Crítica) e criticidade: a atribuir pelo analista, pelos critérios do Programa. A prioridade abaixo é uma proposta.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Resumo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O POP vigente apresenta pontos que exigem ajuste agora, listados no quadro da seção 2 em ordem de prioridade. Os três mais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DDI com exceções sem base normativa </w:t>
      </w:r>
      <w:r>
        <w:rPr>
          <w:rFonts w:ascii="Arial" w:cs="Arial" w:eastAsia="Arial" w:hAnsi="Arial"/>
          <w:sz w:val="20"/>
          <w:szCs w:val="20"/>
        </w:rPr>
        <w:t xml:space="preserve">(ação 1): aditivos, ARP, órgãos públicos e valores abaixo de R$ 20.000,00.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Programa de Integridade exigido antes da contratação </w:t>
      </w:r>
      <w:r>
        <w:rPr>
          <w:rFonts w:ascii="Arial" w:cs="Arial" w:eastAsia="Arial" w:hAnsi="Arial"/>
          <w:sz w:val="20"/>
          <w:szCs w:val="20"/>
        </w:rPr>
        <w:t xml:space="preserve">(ação 2): a lei dá 180 dias depois da assinatura.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Falta de ratificação pelo Diretor-Presidente </w:t>
      </w:r>
      <w:r>
        <w:rPr>
          <w:rFonts w:ascii="Arial" w:cs="Arial" w:eastAsia="Arial" w:hAnsi="Arial"/>
          <w:sz w:val="20"/>
          <w:szCs w:val="20"/>
        </w:rPr>
        <w:t xml:space="preserve">(ação 3).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Cobertura: </w:t>
      </w:r>
      <w:r>
        <w:rPr>
          <w:rFonts w:ascii="Arial" w:cs="Arial" w:eastAsia="Arial" w:hAnsi="Arial"/>
          <w:sz w:val="20"/>
          <w:szCs w:val="20"/>
        </w:rPr>
        <w:t xml:space="preserve">[N] pontos testados, [M] conformes. Os conformes constam da Matriz de Conformidade (Anexo A) e não são repetidos aqui. O Decreto 46.188/2017 foi considerado e não tem dispositivo específico sobre contratação direta ou DDI.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Quadro de ações (contra as normas vigentes)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Cada linha reúne o problema, a base e o que fazer. A coluna "Etapa" reproduz a numeração da análise original e deve ser conferida contra as etapas B.1 a B.12 do POP vigente.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4500"/>
        <w:gridCol w:w="2700"/>
        <w:gridCol w:w="4770"/>
        <w:gridCol w:w="10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Etapa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está errado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Obs. do item 1 (DDI)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POP dispensa o DDI em quatro situações: contratação abaixo de R$ 20.000,00, aditivo, adesão a Ata de Registro de Preços e contratação com órgãos públicos. Nenhuma tem base normativa. Aditivo e ARP não são hipóteses de contratação direta, e "órgãos da Administração Pública" não deixa claro se inclui estatais.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norma que ampare as exceções. Função de integridade nas contratações: Regimento, art. 18; Estatuto, art. 72.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Indicar a norma de cada exceção ou retirá-la do POP. Definir se "órgãos públicos" inclui empresas estatais.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1(d)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POP exige que o fornecedor comprove o Programa de Integridade antes da contratação. A lei dá 180 dias depois da assinatura para implantar o programa e, antes da assinatura, só pede declaração de quem já o tem. O POP também não cita a lei e não diz que valor e prazo (limites conferidos com a lei) são cumulativos.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Estadual 7.753/2017, arts. 1º (caput e §4º), 5º e 10.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Reescrever a alínea: antes da assinatura, pedir a declaração do art. 10 a quem já tem programa; avisar os demais do prazo de 180 dias. Citar a lei, declarar que as condições são cumulativas e orientar a conversão pela UFIR-RJ do ano da contratação. A avaliação prévia serve de insumo de risco e não impede a contratação.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POP não prevê a ratificação da dispensa ou da inexigibilidade pelo Diretor-Presidente.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RILC vigente, art. 123.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Transformar o passo da Presidência em ato expresso de ratificação no SEI.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1(b) e 1(c)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justificativa do preço e a razão da escolha do fornecedor não são conferidas como obrigatórias; a pesquisa de preços só é verificada se o Parecer levantar a questão. O POP usa a Orientação PGE nº 13, que o RILC não incorpora, e o RILC tem regra própria.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13.303/2016, art. 30, §3º, II e III; RILC, art. 121, VI e VII e parágrafo único; RILC, art. 21, IV e §3º.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Conferir sempre os dois elementos. Na inexigibilidade, comparar com os preços que a contratada pratica com outros entes. Na dispensa, usar o art. 21 do RILC como base e manter os itens da PGE como complemento.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e 9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lei dá ao Gestor do Contrato a tarefa de fiscalizar a implantação do programa e informar o Ordenador de Despesas, que aplica a multa. O POP não passa essa tarefa ao gestor e concentra a avaliação na ASSGER.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7.753/2017, arts. 6º, 11 e 12.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Incluir na Etapa 9: acompanhar o prazo de 180 dias, receber a prova documental e informar o Ordenador de Despesas sobre descumprimento ou atraso. A ASSGER atua como apoio técnico, preservando a segregação de funções.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6(b) e 6(d)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convocação formal do fornecedor para assinar, com prazo de 5 dias úteis e lista de documentos. O fornecedor assina antes das aprovações internas.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RILC, art. 136, caput e §§ 3º e 4º.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Criar o passo de convocação depois da aprovação (Etapa 7). Incluir entre os documentos a declaração do art. 10 da Lei 7.753, quando couber. Excluir a alínea 6(b).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1(b)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inexigibilidade só é conferida pela exclusividade. Ficam de fora a notória especialização e a checagem da veracidade dos documentos.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13.303/2016, art. 30, II e §1º; RILC, art. 125, II, §§ 1º e 2º.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Incluir as formas de prova do §1º, a confirmação da veracidade e a conferência da hipótese do inciso II.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6(c)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POP só prevê o extrato no DOERJ. Faltam a publicação do contrato completo no site e o prazo de 30 dias.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RILC, art. 137.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Incluir as duas publicações, com o prazo e os responsáveis (o Regimento, art. 30, atribui à GERLIC a coleta das assinaturas e à CHEGAB a publicação no DOERJ).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3(c) e 6(e)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POP não trata do caso em que a área decide não acolher alguma recomendação da ASSJUR.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RILC, art. 33, §1º.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Prever a justificativa técnica da área, ratificada pelo Diretor-Presidente, juntada antes da manifestação da SUPADM.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3(b)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 risco de DDI médio ou alto, o POP diz apenas "verificar a necessidade de alertar" os diretores, sem registro da decisão.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norma específica. Indireta: RILC, art. 4º, V; Estatuto, art. 72, VI e VII.</w:t>
            </w:r>
          </w:p>
        </w:tc>
        <w:tc>
          <w:tcPr>
            <w:tcW w:type="dxa" w:w="4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Tornar obrigatória a comunicação à Diretoria e registrar nos autos o aceite do risco e as medidas de mitigação. Base fraca: validar antes de classificar como não conformidade.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Baixa/Média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Pontos a confirmar no POP vigente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Estes pontos vêm do Estatuto, do Regimento e de outras normas, e só viram ação se o texto do POP vigente confirmar a lacuna. Nenhum foi verificado ainda.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470"/>
        <w:gridCol w:w="33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Ponto</w:t>
            </w:r>
          </w:p>
        </w:tc>
        <w:tc>
          <w:tcPr>
            <w:tcW w:type="dxa" w:w="8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verificar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Assinatura do contrato antes do empenho</w:t>
            </w:r>
          </w:p>
        </w:tc>
        <w:tc>
          <w:tcPr>
            <w:tcW w:type="dxa" w:w="8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análise original informa que, no POP vigente, o contrato é assinado (B.6) antes de criar a contratação no SIGA, emitir a NAD e a Nota de Empenho (B.7 a B.11). Se confirmado, a obrigação é assumida antes do empenho.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4.320/1964, art. 60 (a confirmar com orçamento e finanças); RILC, art. 121, V.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Parecer da ASSJUR na contratação direta</w:t>
            </w:r>
          </w:p>
        </w:tc>
        <w:tc>
          <w:tcPr>
            <w:tcW w:type="dxa" w:w="8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Compete à ASSJUR opinar previamente sobre inexigibilidade e dispensa, exceto dispensa em razão do valor, a critério do administrador. O POP fala em encaminhar à ASSJUR "caso necessário" (B.1, c). Conferir se o parecer é obrigatório.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Regimento Interno, art. 22.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Autorização da Diretoria em contratos de valor alto</w:t>
            </w:r>
          </w:p>
        </w:tc>
        <w:tc>
          <w:tcPr>
            <w:tcW w:type="dxa" w:w="8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Diretoria Executiva autoriza contratos de valor igual ou superior ao da concorrência. Pelo que a análise descreve, o POP só tem aprovação da DIRAF e assinatura de CHEGAB/PRESI. Conferir se há etapa para inexigibilidades de valor alto.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Estatuto, art. 34, VI.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Competência de GERLIC e GERADM</w:t>
            </w:r>
          </w:p>
        </w:tc>
        <w:tc>
          <w:tcPr>
            <w:tcW w:type="dxa" w:w="8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Regimento atribui à GERADM a análise da documentação de fornecedores em dispensa e inexigibilidade, a pesquisa de preços e a gestão do SIGA e SEI. O art. 30 (GERLIC) não cita contratação direta. O POP põe a conferência (B.1) em GERLIC e SUPADM.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Regimento Interno, arts. 30 e 31.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de avaliação do Programa de Integridade</w:t>
            </w:r>
          </w:p>
        </w:tc>
        <w:tc>
          <w:tcPr>
            <w:tcW w:type="dxa" w:w="8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formulário é definido em outro POP. Confirmar que ele segue os 16 parâmetros de avaliação e a aferição por prova documental.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7.753/2017, art. 4º e art. 11, §2º.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Avisos de revisão futura (normas ou propostas ainda não vigentes)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Os itens abaixo não são não conformidades, porque não há norma em vigor violada. Servem para orientar a revisão do POP quando as propostas forem aprovadas.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Sugestão da SUPADM para o POP (ID 129659709)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70"/>
        <w:gridCol w:w="40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Tema</w:t>
            </w:r>
          </w:p>
        </w:tc>
        <w:tc>
          <w:tcPr>
            <w:tcW w:type="dxa" w:w="8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a sugestão prevê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Ajuste recomendado antes da aprovação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integridade</w:t>
            </w:r>
          </w:p>
        </w:tc>
        <w:tc>
          <w:tcPr>
            <w:tcW w:type="dxa" w:w="8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Retira a consulta a SIGA, CNEP e CEIS sem substituto. A verificação de "Certidões" não equivale à consulta às listas de sanção.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Reincluir a consulta no item 1.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Nota de Empenho</w:t>
            </w:r>
          </w:p>
        </w:tc>
        <w:tc>
          <w:tcPr>
            <w:tcW w:type="dxa" w:w="8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Saem a autorização do empenho pelo Presidente, o Despacho (Anexo II) e a emissão da NE como etapa. A NE só aparece como dado do termo de contrato.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Restabelecer a etapa de empenho, com responsável.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DDI</w:t>
            </w:r>
          </w:p>
        </w:tc>
        <w:tc>
          <w:tcPr>
            <w:tcW w:type="dxa" w:w="8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Passa a "de acordo com o valor", sem dizer qual. Saem os gatilhos de alto grau de risco de integridade e de Política de Alçada. O Relatório deixa de trazer "medidas a serem adotadas".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o critério e manter as medidas no Relatório.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Recomendações da ASSJUR</w:t>
            </w:r>
          </w:p>
        </w:tc>
        <w:tc>
          <w:tcPr>
            <w:tcW w:type="dxa" w:w="8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verificação passa a "caso aplicável" e ocorre só depois do DDI. O Regimento, art. 29, IV, fala em certificar que "todas" as recomendações foram atendidas.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Retirar a condição "caso aplicável".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Redação</w:t>
            </w:r>
          </w:p>
        </w:tc>
        <w:tc>
          <w:tcPr>
            <w:tcW w:type="dxa" w:w="8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NAD emitida duas vezes (itens 4 e 5); letras repetidas nos itens 1 e 3, o que compromete as remissões; unidade com nomes diferentes (SUPLAN e DIRPLA/GERORT).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Corrigir antes da aprovação.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Minuta do novo RILC (em análise na ASSJUR)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Versão consultada: </w:t>
      </w:r>
      <w:r>
        <w:rPr>
          <w:rFonts w:ascii="Arial" w:cs="Arial" w:eastAsia="Arial" w:hAnsi="Arial"/>
          <w:sz w:val="20"/>
          <w:szCs w:val="20"/>
        </w:rPr>
        <w:t xml:space="preserve">[indicar versão e data]. Os números dos artigos mudam entre versões, por isso o quadro cita o conteúdo.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70"/>
        <w:gridCol w:w="49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Tema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 que a Minuta prevê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Impacto no POP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DDI sem exceções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Minuta submete todos os interessados em iniciar e manter relacionamento a diligências, sem prever exceções à realização do DDI.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quatro dispensas do POP (item 1 do quadro de ações) ficariam sem amparo.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de integridade alto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Quem recebe risco alto não pode participar de contratações, salvo exceções previstas em norma interna.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POP precisará tratar o impedimento, e não só "verificar a necessidade de alertar".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Pesquisa de preços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Passaria a seguir o Decreto Estadual 48.816/2023 e deixaria de prever a comparação, na inexigibilidade, com os preços que a contratada pratica com outros entes.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as etapas 1(b) e 1(c).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para assinar o contrato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Entram a certidão de cota de aprendiz, a comprovação da cota da Lei Estadual 7.258/2016 e a assinatura eletrônica no SEI.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as etapas 6(b) a 6(d).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Formas de provar exclusividade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Sai do rol a "pesquisa realizada junto a outros órgãos contratantes do mesmo objeto".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a etapa 1(b).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Publicação</w:t>
            </w:r>
          </w:p>
        </w:tc>
        <w:tc>
          <w:tcPr>
            <w:tcW w:type="dxa" w:w="6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extrato no DOERJ e a íntegra no site em 30 dias passam a valer também para apostilamentos.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a etapa 6(c).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Gatilho de revisão: </w:t>
      </w:r>
      <w:r>
        <w:rPr>
          <w:rFonts w:ascii="Arial" w:cs="Arial" w:eastAsia="Arial" w:hAnsi="Arial"/>
          <w:sz w:val="20"/>
          <w:szCs w:val="20"/>
        </w:rPr>
        <w:t xml:space="preserve">a aprovação do novo RILC leva à reanálise do POP nos pontos acima. Os demais achados do quadro de ações não são afetados.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Observação à parte (não faz parte deste documento): </w:t>
      </w:r>
      <w:r>
        <w:rPr>
          <w:rFonts w:ascii="Arial" w:cs="Arial" w:eastAsia="Arial" w:hAnsi="Arial"/>
          <w:sz w:val="20"/>
          <w:szCs w:val="20"/>
        </w:rPr>
        <w:t xml:space="preserve">a Minuta exige, como condição para assinar, comprovar que o fornecedor mantém Programa de Integridade. Isso parece contrariar o prazo de 180 dias da Lei 7.753. Vale levar à ASSJUR como retorno sobre a Minuta, enquanto ela pode ser ajustada.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Anexos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Anexo A: Matriz de Conformidade completa, com os itens conformes.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Anexo B: Comparação entre o POP vigente e a sugestão da SUPADM (ações que saíram, que saíram em parte, que foram incluídas e mudança na ordem do fluxo). Está na análise original.</w:t>
      </w: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Rascunho para validação.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de Contratação Direta ou por Inexigibilidade</dc:title>
  <dc:creator>ASSGER</dc:creator>
  <cp:lastModifiedBy>Un-named</cp:lastModifiedBy>
  <cp:revision>1</cp:revision>
  <dcterms:created xsi:type="dcterms:W3CDTF">2026-10-15T15:09:15.854Z</dcterms:created>
  <dcterms:modified xsi:type="dcterms:W3CDTF">2026-10-15T15:09:15.861Z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