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</w:rPr>
        <w:t>Governo do Estado do Rio de Janeiro</w:t>
      </w:r>
    </w:p>
    <w:p>
      <w:pPr>
        <w:spacing w:after="0"/>
        <w:jc w:val="center"/>
      </w:pPr>
      <w:r>
        <w:rPr>
          <w:b w:val="0"/>
        </w:rPr>
        <w:t>Companhia Estadual de Engenharia de Transportes e Logística</w:t>
      </w:r>
    </w:p>
    <w:p>
      <w:pPr>
        <w:spacing w:after="200"/>
        <w:jc w:val="center"/>
      </w:pPr>
      <w:r>
        <w:rPr>
          <w:b w:val="0"/>
        </w:rPr>
        <w:t>Assessoria de Governança, Riscos e Compliance – ASSGER</w:t>
      </w:r>
    </w:p>
    <w:p>
      <w:pPr>
        <w:spacing w:after="160"/>
        <w:jc w:val="center"/>
      </w:pPr>
      <w:r>
        <w:rPr>
          <w:b/>
        </w:rPr>
        <w:t>DESPACHO – MINUTA</w:t>
      </w:r>
    </w:p>
    <w:p>
      <w:pPr>
        <w:spacing w:after="0"/>
      </w:pPr>
      <w:r>
        <w:rPr>
          <w:b/>
        </w:rPr>
        <w:t>À Chefia de Gabinete – CHEGAB</w:t>
      </w:r>
    </w:p>
    <w:p>
      <w:pPr>
        <w:spacing w:after="0"/>
      </w:pPr>
      <w:r>
        <w:rPr>
          <w:b w:val="0"/>
        </w:rPr>
        <w:t>Processo: SEI-100006/001034/2026</w:t>
      </w:r>
    </w:p>
    <w:p>
      <w:pPr>
        <w:spacing w:after="160"/>
      </w:pPr>
      <w:r>
        <w:rPr>
          <w:b w:val="0"/>
        </w:rPr>
        <w:t>Assunto: proposta da DIREO de aprimoramento do fluxo de inicialização de novos processos administrativos (CI CENTRAL/DIREO nº 77 – SEI 139773496)</w:t>
      </w:r>
    </w:p>
    <w:p>
      <w:r>
        <w:rPr>
          <w:b w:val="0"/>
        </w:rPr>
        <w:t>Sob a perspectiva de governança, gestão de riscos e controles internos, entende-se que a questão apresentada é pertinente e merece avaliação, uma vez que a existência de processos paralelos sobre uma mesma matéria pode repercutir na rastreabilidade das informações, na eficiência dos fluxos administrativos e na qualidade dos elementos utilizados para subsidiar a tomada de decisão. A análise insere-se nas competências desta Assessoria previstas no Art. 18 do Regimento Interno, em especial quanto à verificação da aderência dos processos e serviços às normas internas e à melhoria do fluxo de informações e documentos, sem prejuízo da verificação de se a situação decorre de insuficiência normativa ou de não observância dos instrumentos já existentes.</w:t>
      </w:r>
    </w:p>
    <w:p>
      <w:pPr>
        <w:keepNext/>
        <w:spacing w:before="240" w:after="80"/>
      </w:pPr>
      <w:r>
        <w:rPr>
          <w:b/>
          <w:sz w:val="24"/>
        </w:rPr>
        <w:t>1. O que o Regimento Interno da CENTRAL estabelece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154"/>
            <w:shd w:val="clear" w:color="auto" w:fill="D9E2F3"/>
          </w:tcPr>
          <w:p>
            <w:r/>
            <w:r>
              <w:rPr>
                <w:b/>
                <w:sz w:val="20"/>
              </w:rPr>
              <w:t>Tema</w:t>
            </w:r>
          </w:p>
        </w:tc>
        <w:tc>
          <w:tcPr>
            <w:tcW w:type="dxa" w:w="1474"/>
            <w:shd w:val="clear" w:color="auto" w:fill="D9E2F3"/>
          </w:tcPr>
          <w:p>
            <w:r/>
            <w:r>
              <w:rPr>
                <w:b/>
                <w:sz w:val="20"/>
              </w:rPr>
              <w:t>Unidade</w:t>
            </w:r>
          </w:p>
        </w:tc>
        <w:tc>
          <w:tcPr>
            <w:tcW w:type="dxa" w:w="1134"/>
            <w:shd w:val="clear" w:color="auto" w:fill="D9E2F3"/>
          </w:tcPr>
          <w:p>
            <w:r/>
            <w:r>
              <w:rPr>
                <w:b/>
                <w:sz w:val="20"/>
              </w:rPr>
              <w:t>Artigo</w:t>
            </w:r>
          </w:p>
        </w:tc>
        <w:tc>
          <w:tcPr>
            <w:tcW w:type="dxa" w:w="4082"/>
            <w:shd w:val="clear" w:color="auto" w:fill="D9E2F3"/>
          </w:tcPr>
          <w:p>
            <w:r/>
            <w:r>
              <w:rPr>
                <w:b/>
                <w:sz w:val="20"/>
              </w:rPr>
              <w:t>Atribuição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/>
                <w:sz w:val="20"/>
              </w:rPr>
              <w:t>Política de gestão documental (inclui o protocolo)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DIRAF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Art. 26</w:t>
            </w:r>
          </w:p>
        </w:tc>
        <w:tc>
          <w:tcPr>
            <w:tcW w:type="dxa" w:w="4082"/>
          </w:tcPr>
          <w:p>
            <w:r/>
            <w:r>
              <w:rPr>
                <w:sz w:val="20"/>
              </w:rPr>
              <w:t>Elaborar, propor e dirigir as políticas, normas e diretrizes de gestão documental, modernização e organização administrativa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/>
                <w:sz w:val="20"/>
              </w:rPr>
              <w:t>Planejamento e supervisão do protocolo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SUPADM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Art. 29</w:t>
            </w:r>
          </w:p>
        </w:tc>
        <w:tc>
          <w:tcPr>
            <w:tcW w:type="dxa" w:w="4082"/>
          </w:tcPr>
          <w:p>
            <w:r/>
            <w:r>
              <w:rPr>
                <w:sz w:val="20"/>
              </w:rPr>
              <w:t>Planejar e supervisionar os serviços de protocolo e os processos de racionalização de rotinas e procedimentos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/>
                <w:sz w:val="20"/>
              </w:rPr>
              <w:t>Gestão do protocolo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GERADM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Art. 31</w:t>
            </w:r>
          </w:p>
        </w:tc>
        <w:tc>
          <w:tcPr>
            <w:tcW w:type="dxa" w:w="4082"/>
          </w:tcPr>
          <w:p>
            <w:r/>
            <w:r>
              <w:rPr>
                <w:sz w:val="20"/>
              </w:rPr>
              <w:t>Gerenciar o protocolo da CENTRAL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/>
                <w:sz w:val="20"/>
              </w:rPr>
              <w:t>Gestão do SEI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GERADM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Art. 31</w:t>
            </w:r>
          </w:p>
        </w:tc>
        <w:tc>
          <w:tcPr>
            <w:tcW w:type="dxa" w:w="4082"/>
          </w:tcPr>
          <w:p>
            <w:r/>
            <w:r>
              <w:rPr>
                <w:sz w:val="20"/>
              </w:rPr>
              <w:t>Gerenciar os sistemas SIGA-RJ e SEI-RJ no âmbito da CENTRAL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/>
                <w:sz w:val="20"/>
              </w:rPr>
              <w:t>Criação, modificação e extinção de órgãos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DIREXE / CONADM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Arts. 14 e 4º</w:t>
            </w:r>
          </w:p>
        </w:tc>
        <w:tc>
          <w:tcPr>
            <w:tcW w:type="dxa" w:w="4082"/>
          </w:tcPr>
          <w:p>
            <w:r/>
            <w:r>
              <w:rPr>
                <w:sz w:val="20"/>
              </w:rPr>
              <w:t>A DIREXE autoriza a criação, modificação e extinção de órgãos e submete a estrutura ao CONADM, que aprova o Regimento Interno</w:t>
            </w:r>
          </w:p>
        </w:tc>
      </w:tr>
    </w:tbl>
    <w:p>
      <w:pPr>
        <w:spacing w:after="40"/>
      </w:pPr>
    </w:p>
    <w:p>
      <w:r>
        <w:rPr>
          <w:b w:val="0"/>
        </w:rPr>
        <w:t>Não há, no Regimento, atribuição expressa a unidade específica para a triagem prévia à abertura de processos. A definição de unidade responsável e de suas competências é matéria de estrutura e atribuições.</w:t>
      </w:r>
    </w:p>
    <w:p>
      <w:pPr>
        <w:keepNext/>
        <w:spacing w:before="240" w:after="80"/>
      </w:pPr>
      <w:r>
        <w:rPr>
          <w:b/>
          <w:sz w:val="24"/>
        </w:rPr>
        <w:t>2. Manifestações já constantes dos autos</w:t>
      </w:r>
    </w:p>
    <w:p>
      <w:pPr>
        <w:pStyle w:val="ListBullet"/>
        <w:spacing w:after="60"/>
      </w:pPr>
      <w:r>
        <w:rPr>
          <w:b/>
        </w:rPr>
        <w:t>Auditoria Interna (SEI 140109406) – aponta</w:t>
      </w:r>
      <w:r>
        <w:t xml:space="preserve"> os instrumentos já existentes (Processo SEI-100006/001550/2020; Portaria Conjunta APERJ/CENTRAL nº 31/2022; Portaria CENTRAL SEI nº 265/2021; Manual de Gestão de Documentos; Manual de Gestão de Protocolo – Padronização; Plano de Classificação; Tabela de Temporalidade; designação de pontos focais do SEI; Procedimentos Padrão de cadastramento de usuários e de elaboração de instrumentos normativos) e pede que se verifique se a dificuldade decorre de insuficiência normativa ou de não observância das normas e das ferramentas de vinculação do SEI. Recomenda que nenhum dos modelos de referência (UNIRIO, TCM-SP, MPRS, TCU) seja adotado automaticamente.</w:t>
      </w:r>
    </w:p>
    <w:p>
      <w:pPr>
        <w:pStyle w:val="ListBullet"/>
        <w:spacing w:after="60"/>
      </w:pPr>
      <w:r>
        <w:rPr>
          <w:b/>
        </w:rPr>
        <w:t>Pontos Focais do SEI (SEI 140422979) – informam</w:t>
      </w:r>
      <w:r>
        <w:t xml:space="preserve"> que a proposta envolve parametrização do SEI (triagem, perfis e permissões, pesquisa e vinculação de processos, padronização de assuntos e tipos processuais), que podem avaliar limitações e orientações de uso e que é fundamental o preenchimento adequado de todos os campos na abertura do processo. Destacam que a definição da unidade responsável e de suas competências cabe às instâncias competentes.</w:t>
      </w:r>
    </w:p>
    <w:p>
      <w:pPr>
        <w:keepNext/>
        <w:spacing w:before="240" w:after="80"/>
      </w:pPr>
      <w:r>
        <w:rPr>
          <w:b/>
          <w:sz w:val="24"/>
        </w:rPr>
        <w:t>3. Pontos ainda sem resposta nos autos</w:t>
      </w:r>
    </w:p>
    <w:p>
      <w:pPr>
        <w:pStyle w:val="ListBullet"/>
        <w:spacing w:after="60"/>
      </w:pPr>
      <w:r>
        <w:rPr>
          <w:b/>
        </w:rPr>
        <w:t>DIREO:</w:t>
      </w:r>
      <w:r>
        <w:t xml:space="preserve"> não consta manifestação sobre se a diretoria conhece e aplica os instrumentos em vigor, nem sobre como gerencia hoje os processos que a ela chegam.</w:t>
      </w:r>
    </w:p>
    <w:p>
      <w:pPr>
        <w:pStyle w:val="ListBullet"/>
        <w:spacing w:after="60"/>
      </w:pPr>
      <w:r>
        <w:rPr>
          <w:b/>
        </w:rPr>
        <w:t>GERADM/SUPADM:</w:t>
      </w:r>
      <w:r>
        <w:t xml:space="preserve"> unidades que, pelo Regimento, gerenciam o protocolo e o SEI, ainda não foram ouvidas.</w:t>
      </w:r>
    </w:p>
    <w:p>
      <w:pPr>
        <w:pStyle w:val="ListBullet"/>
        <w:spacing w:after="60"/>
      </w:pPr>
      <w:r>
        <w:rPr>
          <w:b/>
        </w:rPr>
        <w:t>Comissão de Gestão de Documentos:</w:t>
      </w:r>
      <w:r>
        <w:t xml:space="preserve"> a Auditoria sugeriu sua participação, mas ela não consta entre os destinatários dos encaminhamentos anteriores.</w:t>
      </w:r>
    </w:p>
    <w:p>
      <w:pPr>
        <w:pStyle w:val="ListBullet"/>
        <w:spacing w:after="60"/>
      </w:pPr>
      <w:r>
        <w:rPr>
          <w:b/>
        </w:rPr>
        <w:t>SUPTIN:</w:t>
      </w:r>
      <w:r>
        <w:t xml:space="preserve"> encaminhamento pendente (DIRAF, SEI 140181700), sem manifestação.</w:t>
      </w:r>
    </w:p>
    <w:p>
      <w:pPr>
        <w:pStyle w:val="ListBullet"/>
        <w:spacing w:after="60"/>
      </w:pPr>
      <w:r>
        <w:rPr>
          <w:b/>
        </w:rPr>
        <w:t>Instrumentos em vigor:</w:t>
      </w:r>
      <w:r>
        <w:t xml:space="preserve"> os instrumentos citados pela Auditoria não constam como documentos dos autos.</w:t>
      </w:r>
    </w:p>
    <w:p>
      <w:pPr>
        <w:keepNext/>
        <w:spacing w:before="240" w:after="80"/>
      </w:pPr>
      <w:r>
        <w:rPr>
          <w:b/>
          <w:sz w:val="24"/>
        </w:rPr>
        <w:t>4. Encaminhamentos propostos</w:t>
      </w:r>
    </w:p>
    <w:p>
      <w:pPr>
        <w:spacing w:after="80"/>
      </w:pPr>
      <w:r>
        <w:rPr>
          <w:b w:val="0"/>
        </w:rPr>
        <w:t>Sugere-se que a Chefia de Gabinete encaminhe o processo conforme o quadro abaixo: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510"/>
            <w:shd w:val="clear" w:color="auto" w:fill="D9E2F3"/>
          </w:tcPr>
          <w:p>
            <w:r/>
            <w:r>
              <w:rPr>
                <w:b/>
                <w:sz w:val="20"/>
              </w:rPr>
              <w:t>Nº</w:t>
            </w:r>
          </w:p>
        </w:tc>
        <w:tc>
          <w:tcPr>
            <w:tcW w:type="dxa" w:w="1928"/>
            <w:shd w:val="clear" w:color="auto" w:fill="D9E2F3"/>
          </w:tcPr>
          <w:p>
            <w:r/>
            <w:r>
              <w:rPr>
                <w:b/>
                <w:sz w:val="20"/>
              </w:rPr>
              <w:t>Destinatário</w:t>
            </w:r>
          </w:p>
        </w:tc>
        <w:tc>
          <w:tcPr>
            <w:tcW w:type="dxa" w:w="4535"/>
            <w:shd w:val="clear" w:color="auto" w:fill="D9E2F3"/>
          </w:tcPr>
          <w:p>
            <w:r/>
            <w:r>
              <w:rPr>
                <w:b/>
                <w:sz w:val="20"/>
              </w:rPr>
              <w:t>O que se pede</w:t>
            </w:r>
          </w:p>
        </w:tc>
        <w:tc>
          <w:tcPr>
            <w:tcW w:type="dxa" w:w="3005"/>
            <w:shd w:val="clear" w:color="auto" w:fill="D9E2F3"/>
          </w:tcPr>
          <w:p>
            <w:r/>
            <w:r>
              <w:rPr>
                <w:b/>
                <w:sz w:val="20"/>
              </w:rPr>
              <w:t>Motivo</w:t>
            </w:r>
          </w:p>
        </w:tc>
      </w:tr>
      <w:tr>
        <w:tc>
          <w:tcPr>
            <w:tcW w:type="dxa" w:w="510"/>
          </w:tcPr>
          <w:p>
            <w:r/>
            <w:r>
              <w:rPr>
                <w:b/>
                <w:sz w:val="20"/>
              </w:rPr>
              <w:t>1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DIREO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(a) Informar se conhece e adota os instrumentos em vigor citados pela Auditoria; (b) descrever como a diretoria gerencia os processos que nela ingressam (recebimento, distribuição, consulta a processos existentes, uso da vinculação no SEI, preenchimento de campos); (c) indicar os casos de duplicidade identificados</w:t>
            </w:r>
          </w:p>
        </w:tc>
        <w:tc>
          <w:tcPr>
            <w:tcW w:type="dxa" w:w="3005"/>
          </w:tcPr>
          <w:p>
            <w:r/>
            <w:r>
              <w:rPr>
                <w:sz w:val="20"/>
              </w:rPr>
              <w:t>Distinguir se a dificuldade é falta de norma ou falta de aplicação</w:t>
            </w:r>
          </w:p>
        </w:tc>
      </w:tr>
      <w:tr>
        <w:tc>
          <w:tcPr>
            <w:tcW w:type="dxa" w:w="510"/>
          </w:tcPr>
          <w:p>
            <w:r/>
            <w:r>
              <w:rPr>
                <w:b/>
                <w:sz w:val="20"/>
              </w:rPr>
              <w:t>2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DIRAF, com vistas à SUPADM e à GERADM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Informar como o protocolo e o SEI são geridos hoje; se o Manual de Gestão de Protocolo prevê quem abre e autua processos; e se a duplicidade de processos é recorrente</w:t>
            </w:r>
          </w:p>
        </w:tc>
        <w:tc>
          <w:tcPr>
            <w:tcW w:type="dxa" w:w="3005"/>
          </w:tcPr>
          <w:p>
            <w:r/>
            <w:r>
              <w:rPr>
                <w:sz w:val="20"/>
              </w:rPr>
              <w:t>Unidades que gerenciam protocolo e SEI (Arts. 26, 29 e 31)</w:t>
            </w:r>
          </w:p>
        </w:tc>
      </w:tr>
      <w:tr>
        <w:tc>
          <w:tcPr>
            <w:tcW w:type="dxa" w:w="510"/>
          </w:tcPr>
          <w:p>
            <w:r/>
            <w:r>
              <w:rPr>
                <w:b/>
                <w:sz w:val="20"/>
              </w:rPr>
              <w:t>3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Comissão de Gestão de Documentos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Avaliar a proposta e os instrumentos existentes</w:t>
            </w:r>
          </w:p>
        </w:tc>
        <w:tc>
          <w:tcPr>
            <w:tcW w:type="dxa" w:w="3005"/>
          </w:tcPr>
          <w:p>
            <w:r/>
            <w:r>
              <w:rPr>
                <w:sz w:val="20"/>
              </w:rPr>
              <w:t>Sugestão da Auditoria (SEI 140109406)</w:t>
            </w:r>
          </w:p>
        </w:tc>
      </w:tr>
      <w:tr>
        <w:tc>
          <w:tcPr>
            <w:tcW w:type="dxa" w:w="510"/>
          </w:tcPr>
          <w:p>
            <w:r/>
            <w:r>
              <w:rPr>
                <w:b/>
                <w:sz w:val="20"/>
              </w:rPr>
              <w:t>4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GERADM (via DIRAF)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Juntar aos autos a Portaria CENTRAL SEI nº 265/2021, a Portaria Conjunta APERJ/CENTRAL nº 31/2022, o Manual de Gestão de Protocolo e o Manual de Gestão de Documentos</w:t>
            </w:r>
          </w:p>
        </w:tc>
        <w:tc>
          <w:tcPr>
            <w:tcW w:type="dxa" w:w="3005"/>
          </w:tcPr>
          <w:p>
            <w:r/>
            <w:r>
              <w:rPr>
                <w:sz w:val="20"/>
              </w:rPr>
              <w:t>Permitir a conferência do que já está regulado</w:t>
            </w:r>
          </w:p>
        </w:tc>
      </w:tr>
      <w:tr>
        <w:tc>
          <w:tcPr>
            <w:tcW w:type="dxa" w:w="510"/>
          </w:tcPr>
          <w:p>
            <w:r/>
            <w:r>
              <w:rPr>
                <w:b/>
                <w:sz w:val="20"/>
              </w:rPr>
              <w:t>5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SUPTIN e Pontos Focais do SEI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Após as respostas acima, indicar limitações, necessidades de parametrização e orientações de uso, conforme o modelo que vier a ser considerado</w:t>
            </w:r>
          </w:p>
        </w:tc>
        <w:tc>
          <w:tcPr>
            <w:tcW w:type="dxa" w:w="3005"/>
          </w:tcPr>
          <w:p>
            <w:r/>
            <w:r>
              <w:rPr>
                <w:sz w:val="20"/>
              </w:rPr>
              <w:t>Manifestação dos Pontos Focais (SEI 140422979)</w:t>
            </w:r>
          </w:p>
        </w:tc>
      </w:tr>
      <w:tr>
        <w:tc>
          <w:tcPr>
            <w:tcW w:type="dxa" w:w="510"/>
          </w:tcPr>
          <w:p>
            <w:r/>
            <w:r>
              <w:rPr>
                <w:b/>
                <w:sz w:val="20"/>
              </w:rPr>
              <w:t>6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ASSGER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Consolidar as manifestações e recomendar o modelo, com os riscos e controles associados</w:t>
            </w:r>
          </w:p>
        </w:tc>
        <w:tc>
          <w:tcPr>
            <w:tcW w:type="dxa" w:w="3005"/>
          </w:tcPr>
          <w:p>
            <w:r/>
            <w:r>
              <w:rPr>
                <w:sz w:val="20"/>
              </w:rPr>
              <w:t>Art. 18 do Regimento Interno</w:t>
            </w:r>
          </w:p>
        </w:tc>
      </w:tr>
      <w:tr>
        <w:tc>
          <w:tcPr>
            <w:tcW w:type="dxa" w:w="510"/>
          </w:tcPr>
          <w:p>
            <w:r/>
            <w:r>
              <w:rPr>
                <w:b/>
                <w:sz w:val="20"/>
              </w:rPr>
              <w:t>7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DIREXE (após a consolidação)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Decidir sobre eventual definição de unidade e competências, se a solução exigir alteração de estrutura</w:t>
            </w:r>
          </w:p>
        </w:tc>
        <w:tc>
          <w:tcPr>
            <w:tcW w:type="dxa" w:w="3005"/>
          </w:tcPr>
          <w:p>
            <w:r/>
            <w:r>
              <w:rPr>
                <w:sz w:val="20"/>
              </w:rPr>
              <w:t>Arts. 14 e 4º do Regimento Interno</w:t>
            </w:r>
          </w:p>
        </w:tc>
      </w:tr>
    </w:tbl>
    <w:p>
      <w:pPr>
        <w:spacing w:after="40"/>
      </w:pPr>
    </w:p>
    <w:p>
      <w:r>
        <w:rPr>
          <w:b w:val="0"/>
        </w:rPr>
        <w:t>Prazo sugerido para as respostas dos itens 1 a 4: [__ dias úteis].</w:t>
      </w:r>
    </w:p>
    <w:p>
      <w:pPr>
        <w:keepNext/>
        <w:spacing w:before="240" w:after="80"/>
      </w:pPr>
      <w:r>
        <w:rPr>
          <w:b/>
          <w:sz w:val="24"/>
        </w:rPr>
        <w:t>5. Pontos de atenção de governança e controles internos</w:t>
      </w:r>
    </w:p>
    <w:p>
      <w:pPr>
        <w:pStyle w:val="ListBullet"/>
        <w:spacing w:after="60"/>
      </w:pPr>
      <w:r>
        <w:rPr>
          <w:b/>
        </w:rPr>
        <w:t>Segregação de funções:</w:t>
      </w:r>
      <w:r>
        <w:t xml:space="preserve"> se houver unidade centralizadora, verificar a segregação de funções e evitar concentração de etapas incompatíveis.</w:t>
      </w:r>
    </w:p>
    <w:p>
      <w:pPr>
        <w:pStyle w:val="ListBullet"/>
        <w:spacing w:after="60"/>
      </w:pPr>
      <w:r>
        <w:rPr>
          <w:b/>
        </w:rPr>
        <w:t>Processos sigilosos:</w:t>
      </w:r>
      <w:r>
        <w:t xml:space="preserve"> processos disciplinares, sindicâncias, denúncias e dados pessoais, que a própria DIREO previu como exceções à centralização.</w:t>
      </w:r>
    </w:p>
    <w:p>
      <w:pPr>
        <w:pStyle w:val="ListBullet"/>
        <w:spacing w:after="60"/>
      </w:pPr>
      <w:r>
        <w:rPr>
          <w:b/>
        </w:rPr>
        <w:t>Risco operacional:</w:t>
      </w:r>
      <w:r>
        <w:t xml:space="preserve"> a centralização não deve gerar demora nem ponto único de falha na abertura de processos.</w:t>
      </w:r>
    </w:p>
    <w:p>
      <w:pPr>
        <w:pStyle w:val="ListBullet"/>
        <w:spacing w:after="60"/>
      </w:pPr>
      <w:r>
        <w:rPr>
          <w:b/>
        </w:rPr>
        <w:t>Qualidade do registro:</w:t>
      </w:r>
      <w:r>
        <w:t xml:space="preserve"> preenchimento obrigatório e adequado dos campos, como destacado pelos Pontos Focais, independentemente do modelo.</w:t>
      </w:r>
    </w:p>
    <w:p>
      <w:r>
        <w:rPr>
          <w:b w:val="0"/>
        </w:rPr>
      </w:r>
    </w:p>
    <w:p>
      <w:pPr>
        <w:spacing w:after="280"/>
      </w:pPr>
      <w:r>
        <w:rPr>
          <w:b w:val="0"/>
        </w:rPr>
        <w:t>Rio de Janeiro, na data da assinatura.</w:t>
      </w:r>
    </w:p>
    <w:p>
      <w:pPr>
        <w:spacing w:after="0"/>
      </w:pPr>
      <w:r>
        <w:rPr>
          <w:b w:val="0"/>
        </w:rPr>
        <w:t>[Nome e cargo]</w:t>
      </w:r>
    </w:p>
    <w:p>
      <w:r>
        <w:rPr>
          <w:b w:val="0"/>
        </w:rPr>
        <w:t>Assessoria de Governança, Riscos e Compliance – ASSGER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