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O EDITAL QUE PARECIA COMPLETO</w:t>
      </w:r>
    </w:p>
    <w:p>
      <w:r>
        <w:rPr>
          <w:i/>
          <w:color w:val="0000FF"/>
          <w:sz w:val="19"/>
        </w:rPr>
        <w:t>Em azul: trechos a verificar ou alterar, numerados conforme o quadro ao final. As observações também estão nos comentários do Word. O amarelo reproduz a marca do original.</w:t>
      </w:r>
    </w:p>
    <w:p>
      <w:pPr>
        <w:spacing w:after="200"/>
        <w:jc w:val="both"/>
      </w:pPr>
      <w:r>
        <w:rPr>
          <w:i w:val="0"/>
        </w:rPr>
        <w:t xml:space="preserve">O modelo-padrão do organismo internacional trazia cláusulas prontas sobre prazos, garantias, critérios de avaliação e forma de apresentar preços. </w:t>
      </w:r>
      <w:commentRangeStart w:id="0"/>
      <w:r>
        <w:rPr>
          <w:i w:val="0"/>
          <w:color w:val="0000FF"/>
        </w:rPr>
        <w:t>Sobre impostos, deixava ao contratante a tarefa de informar, na linha de uma tabela, como funciona a tributação local.</w:t>
      </w:r>
      <w:commentRangeEnd w:id="0"/>
      <w:r>
        <w:rPr>
          <w:rStyle w:val="CommentReference"/>
        </w:rPr>
        <w:commentReference w:id="0"/>
      </w:r>
      <w:r>
        <w:rPr>
          <w:color w:val="0000FF"/>
          <w:sz w:val="16"/>
          <w:vertAlign w:val="superscript"/>
        </w:rPr>
        <w:t xml:space="preserve"> [1]</w:t>
      </w:r>
      <w:r>
        <w:rPr>
          <w:i w:val="0"/>
        </w:rPr>
        <w:t xml:space="preserve"> No caso de empresas nacionais o edital era claro, apenas o imposto ISS seria considerado para cálculo, devendo os demais tributos serem inseridos como parte da composição do custo principal. </w:t>
      </w:r>
      <w:commentRangeStart w:id="1"/>
      <w:r>
        <w:rPr>
          <w:i w:val="0"/>
          <w:color w:val="0000FF"/>
        </w:rPr>
        <w:t>O edital, contudo, não dizia como as informações deveriam ser preenchidas por empresas fora do território nacional.</w:t>
      </w:r>
      <w:commentRangeEnd w:id="1"/>
      <w:r>
        <w:rPr>
          <w:rStyle w:val="CommentReference"/>
        </w:rPr>
        <w:commentReference w:id="1"/>
      </w:r>
      <w:r>
        <w:rPr>
          <w:color w:val="0000FF"/>
          <w:sz w:val="16"/>
          <w:vertAlign w:val="superscript"/>
        </w:rPr>
        <w:t xml:space="preserve"> [2]</w:t>
      </w:r>
    </w:p>
    <w:p>
      <w:pPr>
        <w:spacing w:after="200"/>
        <w:jc w:val="both"/>
      </w:pPr>
      <w:r>
        <w:rPr>
          <w:i w:val="0"/>
        </w:rPr>
        <w:t xml:space="preserve">Para as concorrentes brasileiras que participam de certames que seguem a legislação brasileira, </w:t>
      </w:r>
      <w:commentRangeStart w:id="2"/>
      <w:r>
        <w:rPr>
          <w:i w:val="0"/>
          <w:color w:val="0000FF"/>
        </w:rPr>
        <w:t>isso não chega a ser problema. A prática já é conhecida e pacífica no mercado.</w:t>
      </w:r>
      <w:commentRangeEnd w:id="2"/>
      <w:r>
        <w:rPr>
          <w:rStyle w:val="CommentReference"/>
        </w:rPr>
        <w:commentReference w:id="2"/>
      </w:r>
      <w:r>
        <w:rPr>
          <w:color w:val="0000FF"/>
          <w:sz w:val="16"/>
          <w:vertAlign w:val="superscript"/>
        </w:rPr>
        <w:t xml:space="preserve"> [3]</w:t>
      </w:r>
      <w:r>
        <w:rPr>
          <w:i w:val="0"/>
        </w:rPr>
        <w:t xml:space="preserve"> A empresa nacional coloca no preço os tributos que incidem sobre a sua receita, e o contratante retém na fonte o que a lei manda reter.</w:t>
      </w:r>
    </w:p>
    <w:p>
      <w:pPr>
        <w:spacing w:after="200"/>
        <w:jc w:val="both"/>
      </w:pPr>
      <w:r>
        <w:rPr>
          <w:i w:val="0"/>
        </w:rPr>
        <w:t xml:space="preserve">Com uma empresa sediada no exterior, sem estabelecimento no Brasil, a lógica é outra: quando há tributo, quem recolhe costuma ser a fonte pagadora brasileira, no momento da remessa. </w:t>
      </w:r>
      <w:commentRangeStart w:id="3"/>
      <w:r>
        <w:rPr>
          <w:i w:val="0"/>
          <w:color w:val="0000FF"/>
        </w:rPr>
        <w:t>Neste caso, a fonte pagadora s é outra. Com uma empresa sediada no exterior, sem estabelecimento no Brasil,</w:t>
      </w:r>
      <w:commentRangeEnd w:id="3"/>
      <w:r>
        <w:rPr>
          <w:rStyle w:val="CommentReference"/>
        </w:rPr>
        <w:commentReference w:id="3"/>
      </w:r>
      <w:r>
        <w:rPr>
          <w:color w:val="0000FF"/>
          <w:sz w:val="16"/>
          <w:vertAlign w:val="superscript"/>
        </w:rPr>
        <w:t xml:space="preserve"> [4]</w:t>
      </w:r>
    </w:p>
    <w:p>
      <w:pPr>
        <w:spacing w:after="200"/>
        <w:jc w:val="both"/>
      </w:pPr>
      <w:r>
        <w:rPr>
          <w:i w:val="0"/>
        </w:rPr>
        <w:t xml:space="preserve">Com procedimentos definidos por organismos internacionais a lógica é outra. Algumas diferenças que podem ser citadas para demonstrar a diferença em relação às regras nacionais. </w:t>
      </w:r>
      <w:commentRangeStart w:id="4"/>
      <w:r>
        <w:rPr>
          <w:i w:val="0"/>
          <w:color w:val="0000FF"/>
        </w:rPr>
        <w:t>Um consórcio licitante não precisa ser formalizado, formando assim um CNPJ próprio, como é uma exigência nacional. O contrato pode ser feito em mais de uma moeda e o pagamento ser pago separadamente à cada uma das empresas que compõem o consórcio. Os impostos seriam pagos a cada uma que</w:t>
      </w:r>
      <w:commentRangeEnd w:id="4"/>
      <w:r>
        <w:rPr>
          <w:rStyle w:val="CommentReference"/>
        </w:rPr>
        <w:commentReference w:id="4"/>
      </w:r>
      <w:r>
        <w:rPr>
          <w:color w:val="0000FF"/>
          <w:sz w:val="16"/>
          <w:vertAlign w:val="superscript"/>
        </w:rPr>
        <w:t xml:space="preserve"> [5]</w:t>
      </w:r>
    </w:p>
    <w:p>
      <w:pPr>
        <w:spacing w:after="200"/>
        <w:jc w:val="both"/>
      </w:pPr>
      <w:r>
        <w:rPr>
          <w:i w:val="0"/>
          <w:highlight w:val="yellow"/>
        </w:rPr>
        <w:t xml:space="preserve">e: quando há tributo, quem recolhe costuma ser a fonte pagadora brasileira, no momento da remessa. </w:t>
      </w:r>
      <w:commentRangeStart w:id="5"/>
      <w:r>
        <w:rPr>
          <w:i w:val="0"/>
          <w:color w:val="0000FF"/>
          <w:highlight w:val="yellow"/>
        </w:rPr>
        <w:t>Neste caso, a fonte pagadora ria a própria empresa pública.</w:t>
      </w:r>
      <w:commentRangeEnd w:id="5"/>
      <w:r>
        <w:rPr>
          <w:rStyle w:val="CommentReference"/>
        </w:rPr>
        <w:commentReference w:id="5"/>
      </w:r>
      <w:r>
        <w:rPr>
          <w:color w:val="0000FF"/>
          <w:sz w:val="16"/>
          <w:vertAlign w:val="superscript"/>
        </w:rPr>
        <w:t xml:space="preserve"> [6]</w:t>
      </w:r>
      <w:r>
        <w:rPr>
          <w:i w:val="0"/>
          <w:highlight w:val="yellow"/>
        </w:rPr>
        <w:t xml:space="preserve"> </w:t>
      </w:r>
      <w:commentRangeStart w:id="6"/>
      <w:r>
        <w:rPr>
          <w:i w:val="0"/>
          <w:color w:val="0000FF"/>
          <w:highlight w:val="yellow"/>
        </w:rPr>
        <w:t>Isso não acontecia para as estrangeiras, e abriu disputa entre financiador, consultoria e órgãos fazendários.</w:t>
      </w:r>
      <w:commentRangeEnd w:id="6"/>
      <w:r>
        <w:rPr>
          <w:rStyle w:val="CommentReference"/>
        </w:rPr>
        <w:commentReference w:id="6"/>
      </w:r>
      <w:r>
        <w:rPr>
          <w:color w:val="0000FF"/>
          <w:sz w:val="16"/>
          <w:vertAlign w:val="superscript"/>
        </w:rPr>
        <w:t xml:space="preserve"> [7]</w:t>
      </w:r>
    </w:p>
    <w:p>
      <w:pPr>
        <w:spacing w:after="200"/>
        <w:jc w:val="both"/>
      </w:pPr>
      <w:r>
        <w:rPr>
          <w:i w:val="0"/>
        </w:rPr>
        <w:t xml:space="preserve">A dúvida apareceu </w:t>
      </w:r>
      <w:commentRangeStart w:id="7"/>
      <w:r>
        <w:rPr>
          <w:i w:val="0"/>
          <w:color w:val="0000FF"/>
        </w:rPr>
        <w:t>[quando e como]</w:t>
      </w:r>
      <w:commentRangeEnd w:id="7"/>
      <w:r>
        <w:rPr>
          <w:rStyle w:val="CommentReference"/>
        </w:rPr>
        <w:commentReference w:id="7"/>
      </w:r>
      <w:r>
        <w:rPr>
          <w:color w:val="0000FF"/>
          <w:sz w:val="16"/>
          <w:vertAlign w:val="superscript"/>
        </w:rPr>
        <w:t xml:space="preserve"> [8]</w:t>
      </w:r>
      <w:r>
        <w:rPr>
          <w:i w:val="0"/>
        </w:rPr>
        <w:t xml:space="preserve">. </w:t>
      </w:r>
      <w:commentRangeStart w:id="8"/>
      <w:r>
        <w:rPr>
          <w:i w:val="0"/>
          <w:color w:val="0000FF"/>
        </w:rPr>
        <w:t>Até então ninguém tinha notado que a linha de tributos da planilha financeira não tinha regra para ser preenchida.</w:t>
      </w:r>
      <w:commentRangeEnd w:id="8"/>
      <w:r>
        <w:rPr>
          <w:rStyle w:val="CommentReference"/>
        </w:rPr>
        <w:commentReference w:id="8"/>
      </w:r>
      <w:r>
        <w:rPr>
          <w:color w:val="0000FF"/>
          <w:sz w:val="16"/>
          <w:vertAlign w:val="superscript"/>
        </w:rPr>
        <w:t xml:space="preserve"> [9]</w:t>
      </w:r>
    </w:p>
    <w:p>
      <w:pPr>
        <w:spacing w:before="320"/>
      </w:pPr>
      <w:r>
        <w:rPr>
          <w:b/>
        </w:rPr>
        <w:t>Quadro de alterações sugeridas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fill="D9E2F3"/>
          </w:tcPr>
          <w:p>
            <w:r/>
            <w:r>
              <w:rPr>
                <w:b/>
                <w:sz w:val="20"/>
              </w:rPr>
              <w:t>Nº</w:t>
            </w:r>
          </w:p>
        </w:tc>
        <w:tc>
          <w:tcPr>
            <w:tcW w:type="dxa" w:w="2381"/>
            <w:shd w:val="clear" w:fill="D9E2F3"/>
          </w:tcPr>
          <w:p>
            <w:r/>
            <w:r>
              <w:rPr>
                <w:b/>
                <w:sz w:val="20"/>
              </w:rPr>
              <w:t>Trecho</w:t>
            </w:r>
          </w:p>
        </w:tc>
        <w:tc>
          <w:tcPr>
            <w:tcW w:type="dxa" w:w="2608"/>
            <w:shd w:val="clear" w:fill="D9E2F3"/>
          </w:tcPr>
          <w:p>
            <w:r/>
            <w:r>
              <w:rPr>
                <w:b/>
                <w:sz w:val="20"/>
              </w:rPr>
              <w:t>Problema</w:t>
            </w:r>
          </w:p>
        </w:tc>
        <w:tc>
          <w:tcPr>
            <w:tcW w:type="dxa" w:w="3231"/>
            <w:shd w:val="clear" w:fill="D9E2F3"/>
          </w:tcPr>
          <w:p>
            <w:r/>
            <w:r>
              <w:rPr>
                <w:b/>
                <w:sz w:val="20"/>
              </w:rPr>
              <w:t>Sugestão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“Sobre impostos, deixava ao contratante a tarefa de informar, na linha de uma tabela [...]”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Mistura dois papéis: o contratante indica a regra na Folha de Dados; o licitante preenche a linha do FIN-2.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“Sobre impostos, o edital pedia ao contratante que indicasse, na Folha de Dados, quais seriam considerados, e ao licitante que os estimasse em uma linha do formulário de preços.”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“O edital, contudo, não dizia como [...] empresas fora do território nacional.”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Quase exato: tratava só de nacionais e dos especialistas não residentes (pessoas).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“[...] só tratava dos consultores nacionais e dos especialistas não residentes; não dizia como uma empresa estrangeira deveria preencher.”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“isso não chega a ser problema. A prática já é conhecida e pacífica no mercado.”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Contradito: nenhuma proposta seguiu o edital; no CIMU, R$ 165.126,58 deixaram de ser contabilizados.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“Para as concorrentes brasileiras, a regra era mais clara, embora, na prática, também ali as propostas tenham preenchido a linha de impostos de modo diferente do pedido.”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“Neste caso, a fonte pagadora s é outra. Com uma empresa sediada no exterior, sem estabelecimento no Brasil,”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Trecho duplicado e com erro de digitação.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Apagar este trecho e manter a versão do parágrafo em amarelo.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“formando assim um CNPJ próprio [...] à cada uma [...] Os impostos seriam pagos a cada uma que”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Erros de redação e frase truncada.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“Um consórcio licitante não precisa ser formalizado nem ter CNPJ próprio, como exige a regra nacional. O contrato pode ser feito em mais de uma moeda, com pagamento separado a cada empresa do consórcio. [concluir a frase sobre os impostos]”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“Neste caso, a fonte pagadora ria a própria empresa pública.”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Erro de digitação; e afirmação disputada (Receita x PGE).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“Neste caso, a fonte pagadora poderia ser a própria empresa pública, que contrata, ou o Banco, que paga. Essa era a dúvida.”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“Isso não acontecia para as estrangeiras, e abriu disputa entre financiador, consultoria e órgãos fazendários.”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Obscuro; a disputa documentada foi entre financiador e consultoria.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“Para as estrangeiras, a regra não era clara, e isso abriu uma disputa entre financiador e consultoria e uma consulta a órgãos fazendários.”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“[quando e como]”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Placeholder.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“A dúvida apareceu em janeiro de 2021, quando as propostas financeiras foram abertas e cada licitante preencheu a linha de impostos de um jeito. Ficou concreta em março, na primeira negociação, quando o consórcio com a empresa espanhola apresentou ‘impostos totais’ em reais e em dólares.”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“Até então ninguém tinha notado [...] não tinha regra para ser preenchida.”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Incoerente: o problema surgiu antes no CIMU Sistema; havia regra para empresas nacionais.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“A dúvida já havia surgido em outro certame do mesmo programa. O edital não tinha regra para a linha de tributos de empresas estrangeiras.”</w:t>
            </w:r>
          </w:p>
        </w:tc>
      </w:tr>
    </w:tbl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Claude" w:initials="CL" w:date="2026-10-20T23:40:22Z">
    <w:p>
      <w:pPr>
        <w:pStyle w:val="CommentText"/>
      </w:pPr>
      <w:r>
        <w:rPr>
          <w:rStyle w:val="CommentReference"/>
        </w:rPr>
        <w:annotationRef/>
      </w:r>
      <w:r>
        <w:t>Mistura dois papéis. A Folha de Dados (cláusula 25.1), preenchida pelo contratante, indica quais impostos são considerados na avaliação. A linha da tabela (formulário FIN-2) é preenchida pelo LICITANTE, com a estimativa dos impostos locais indiretos (Anexo 44; Nota Técnica, itens 26 a 28).</w:t>
      </w:r>
    </w:p>
  </w:comment>
  <w:comment w:id="1" w:author="Claude" w:initials="CL" w:date="2026-10-20T23:40:22Z">
    <w:p>
      <w:pPr>
        <w:pStyle w:val="CommentText"/>
      </w:pPr>
      <w:r>
        <w:rPr>
          <w:rStyle w:val="CommentReference"/>
        </w:rPr>
        <w:annotationRef/>
      </w:r>
      <w:r>
        <w:t>Quase exato. A cláusula 25.1 só tratava dos consultores nacionais e, na letra (b), dos “impostos indiretos adicionais sobre a remuneração dos serviços prestados por especialistas não residentes”, que são pessoas. Não dizia como empresas estrangeiras deveriam preencher (Nota Técnica, item 45). Sugestão: acrescentar essa nuance.</w:t>
      </w:r>
    </w:p>
  </w:comment>
  <w:comment w:id="2" w:author="Claude" w:initials="CL" w:date="2026-10-20T23:40:22Z">
    <w:p>
      <w:pPr>
        <w:pStyle w:val="CommentText"/>
      </w:pPr>
      <w:r>
        <w:rPr>
          <w:rStyle w:val="CommentReference"/>
        </w:rPr>
        <w:annotationRef/>
      </w:r>
      <w:r>
        <w:t>Contradito pelos documentos. Nenhuma proposta tratou o tema como o edital pedia (Nota Técnica, item 25). No CIMU Sistema, a proposta incluiu outros tributos além do ISS e R$ 165.126,58 deixaram de ser contabilizados (itens 29 a 31). Nesta licitação, o consórcio colocou IRPJ, CSLL, PIS, COFINS e ISS (R$ 163.642,55) na linha (Anexo 01_06). Os próprios licitantes brasileiros erraram.</w:t>
      </w:r>
    </w:p>
  </w:comment>
  <w:comment w:id="3" w:author="Claude" w:initials="CL" w:date="2026-10-20T23:40:22Z">
    <w:p>
      <w:pPr>
        <w:pStyle w:val="CommentText"/>
      </w:pPr>
      <w:r>
        <w:rPr>
          <w:rStyle w:val="CommentReference"/>
        </w:rPr>
        <w:annotationRef/>
      </w:r>
      <w:r>
        <w:t>Trecho duplicado e com erro de digitação (“a fonte pagadora s é outra”). A frase repete a do parágrafo seguinte, em amarelo. Sugestão: manter só uma versão.</w:t>
      </w:r>
    </w:p>
  </w:comment>
  <w:comment w:id="4" w:author="Claude" w:initials="CL" w:date="2026-10-20T23:40:22Z">
    <w:p>
      <w:pPr>
        <w:pStyle w:val="CommentText"/>
      </w:pPr>
      <w:r>
        <w:rPr>
          <w:rStyle w:val="CommentReference"/>
        </w:rPr>
        <w:annotationRef/>
      </w:r>
      <w:r>
        <w:t>Erros de redação: “formando assim um CNPJ próprio” (o sentido é “sem formar”), “à cada uma” (“a cada uma”) e a frase final truncada (“Os impostos seriam pagos a cada uma que”). O fato confere: o Banco informou que bastava um documento assinado entre as empresas (Nota Técnica, item 48). Verificar a “exigência nacional” citada.</w:t>
      </w:r>
    </w:p>
  </w:comment>
  <w:comment w:id="5" w:author="Claude" w:initials="CL" w:date="2026-10-20T23:40:22Z">
    <w:p>
      <w:pPr>
        <w:pStyle w:val="CommentText"/>
      </w:pPr>
      <w:r>
        <w:rPr>
          <w:rStyle w:val="CommentReference"/>
        </w:rPr>
        <w:annotationRef/>
      </w:r>
      <w:r>
        <w:t>Erro de digitação (“ria”) e afirmação disputada. Quem era a fonte pagadora é a controvérsia do caso: a Decisão da Receita (2000) diz que é quem toma o serviço, mesmo com pagamento direto pelo financiador; o Parecer 14 da ASSJUR, aprovado pela PGE, diz que a CENTRAL não é fonte pagadora do IRRF porque o Banco paga. Sugestão: apresentar como dúvida, e não como fato.</w:t>
      </w:r>
    </w:p>
  </w:comment>
  <w:comment w:id="6" w:author="Claude" w:initials="CL" w:date="2026-10-20T23:40:22Z">
    <w:p>
      <w:pPr>
        <w:pStyle w:val="CommentText"/>
      </w:pPr>
      <w:r>
        <w:rPr>
          <w:rStyle w:val="CommentReference"/>
        </w:rPr>
        <w:annotationRef/>
      </w:r>
      <w:r>
        <w:t>“Isso não acontecia” é obscuro. E a disputa documentada foi entre o financiador (sem imposto) e a consultoria (IR e ISS). Os órgãos fazendários não disputaram: a SEFAZ aguardou o banco comercial, e a Receita foi consultada informalmente (Decisão de 2000, enviada ao Banco em 13/09/2021).</w:t>
      </w:r>
    </w:p>
  </w:comment>
  <w:comment w:id="7" w:author="Claude" w:initials="CL" w:date="2026-10-20T23:40:22Z">
    <w:p>
      <w:pPr>
        <w:pStyle w:val="CommentText"/>
      </w:pPr>
      <w:r>
        <w:rPr>
          <w:rStyle w:val="CommentReference"/>
        </w:rPr>
        <w:annotationRef/>
      </w:r>
      <w:r>
        <w:t>Placeholder. Quando: nas propostas financeiras, abertas em 12/01/2021 (cada licitante preencheu a linha de um jeito; Nota Técnica, item 37), com consulta ao Banco em 04/02/2021 (Anexo 07). Como: o consórcio apresentou “Impostos totais” (US$ 24.989,02 e R$ 163.642,55), que a Comissão pediu para detalhar na negociação de 18/03/2021.</w:t>
      </w:r>
    </w:p>
  </w:comment>
  <w:comment w:id="8" w:author="Claude" w:initials="CL" w:date="2026-10-20T23:40:22Z">
    <w:p>
      <w:pPr>
        <w:pStyle w:val="CommentText"/>
      </w:pPr>
      <w:r>
        <w:rPr>
          <w:rStyle w:val="CommentReference"/>
        </w:rPr>
        <w:annotationRef/>
      </w:r>
      <w:r>
        <w:t>Incoerente com os documentos: a dúvida surgiu antes, no CIMU Sistema, e a Comissão já suspeitava que o mesmo ocorreria aqui (Nota Técnica, itens 24 e 32); e em 04/02/2021 ela consultou o Banco sobre o tema. Além disso, a linha tinha regra para empresas nacionais (cláusula 25.1); o que faltava era regra para empresas estrangeiras.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