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0"/>
          <w:szCs w:val="20"/>
        </w:rPr>
        <w:t xml:space="preserve">ASSGER — Assessoria de Governança, Riscos e Compliance</w:t>
      </w:r>
    </w:p>
    <w:p>
      <w:pPr>
        <w:spacing w:after="60"/>
      </w:pPr>
      <w:r>
        <w:rPr>
          <w:rFonts w:ascii="Arial" w:cs="Arial" w:eastAsia="Arial" w:hAnsi="Arial"/>
          <w:b/>
          <w:bCs/>
          <w:color w:val="1F3864"/>
          <w:sz w:val="32"/>
          <w:szCs w:val="32"/>
        </w:rPr>
        <w:t xml:space="preserve">Posicionamento da ASSGER sobre a proposta de revisão do POP de Contratação Direta ou por Inexigibilidade</w:t>
      </w:r>
    </w:p>
    <w:p>
      <w:pPr>
        <w:spacing w:after="40" w:before="160"/>
      </w:pPr>
      <w:r>
        <w:rPr>
          <w:rFonts w:ascii="Arial" w:cs="Arial" w:eastAsia="Arial" w:hAnsi="Arial"/>
          <w:b/>
          <w:bCs/>
          <w:sz w:val="20"/>
          <w:szCs w:val="20"/>
        </w:rPr>
        <w:t xml:space="preserve">Para: </w:t>
      </w:r>
      <w:r>
        <w:rPr>
          <w:rFonts w:ascii="Arial" w:cs="Arial" w:eastAsia="Arial" w:hAnsi="Arial"/>
          <w:sz w:val="20"/>
          <w:szCs w:val="20"/>
        </w:rPr>
        <w:t xml:space="preserve">Superintendência Administrativa (SUPADM)</w:t>
      </w:r>
    </w:p>
    <w:p>
      <w:pPr>
        <w:spacing w:after="40" w:before="0"/>
      </w:pPr>
      <w:r>
        <w:rPr>
          <w:rFonts w:ascii="Arial" w:cs="Arial" w:eastAsia="Arial" w:hAnsi="Arial"/>
          <w:b/>
          <w:bCs/>
          <w:sz w:val="20"/>
          <w:szCs w:val="20"/>
        </w:rPr>
        <w:t xml:space="preserve">De: </w:t>
      </w:r>
      <w:r>
        <w:rPr>
          <w:rFonts w:ascii="Arial" w:cs="Arial" w:eastAsia="Arial" w:hAnsi="Arial"/>
          <w:sz w:val="20"/>
          <w:szCs w:val="20"/>
        </w:rPr>
        <w:t xml:space="preserve">ASSGER</w:t>
      </w:r>
    </w:p>
    <w:p>
      <w:pPr>
        <w:spacing w:after="40" w:before="0"/>
      </w:pPr>
      <w:r>
        <w:rPr>
          <w:rFonts w:ascii="Arial" w:cs="Arial" w:eastAsia="Arial" w:hAnsi="Arial"/>
          <w:b/>
          <w:bCs/>
          <w:sz w:val="20"/>
          <w:szCs w:val="20"/>
        </w:rPr>
        <w:t xml:space="preserve">Referências: </w:t>
      </w:r>
      <w:r>
        <w:rPr>
          <w:rFonts w:ascii="Arial" w:cs="Arial" w:eastAsia="Arial" w:hAnsi="Arial"/>
          <w:sz w:val="20"/>
          <w:szCs w:val="20"/>
        </w:rPr>
        <w:t xml:space="preserve">Proposta da SUPADM (SEI 129659709); POP vigente, versão 2.0 (SEI 57011112, processo SEI-100006/000538/2022).</w:t>
      </w:r>
    </w:p>
    <w:p>
      <w:pPr>
        <w:spacing w:after="100" w:before="0"/>
      </w:pPr>
      <w:r>
        <w:rPr>
          <w:rFonts w:ascii="Arial" w:cs="Arial" w:eastAsia="Arial" w:hAnsi="Arial"/>
          <w:b/>
          <w:bCs/>
          <w:sz w:val="20"/>
          <w:szCs w:val="20"/>
        </w:rPr>
        <w:t xml:space="preserve">Normas vigentes consideradas: </w:t>
      </w:r>
      <w:r>
        <w:rPr>
          <w:rFonts w:ascii="Arial" w:cs="Arial" w:eastAsia="Arial" w:hAnsi="Arial"/>
          <w:sz w:val="20"/>
          <w:szCs w:val="20"/>
        </w:rPr>
        <w:t xml:space="preserve">Lei 13.303/2016; Decreto Estadual 46.188/2017; Estatuto Social; Regimento Interno; RILC versão 2.0 (maio/2023); Lei Estadual 7.753/2017; Código de Conduta Ética e de Integridade.</w:t>
      </w:r>
    </w:p>
    <w:p>
      <w:pPr>
        <w:pStyle w:val="Heading1"/>
        <w:spacing w:after="120" w:before="280"/>
      </w:pPr>
      <w:r>
        <w:rPr>
          <w:rFonts w:ascii="Arial" w:cs="Arial" w:eastAsia="Arial" w:hAnsi="Arial"/>
          <w:b/>
          <w:bCs/>
          <w:color w:val="1F3864"/>
          <w:sz w:val="26"/>
          <w:szCs w:val="26"/>
        </w:rPr>
        <w:t xml:space="preserve">1. Posicionamento da ASSGER</w:t>
      </w:r>
    </w:p>
    <w:p>
      <w:pPr>
        <w:spacing w:after="100" w:before="0"/>
      </w:pPr>
      <w:r>
        <w:rPr>
          <w:rFonts w:ascii="Arial" w:cs="Arial" w:eastAsia="Arial" w:hAnsi="Arial"/>
          <w:sz w:val="20"/>
          <w:szCs w:val="20"/>
        </w:rPr>
        <w:t xml:space="preserve">A ASSGER recomenda que a proposta não seja aprovada na forma atual. Há sete pontos que a proposta introduz ou agrava (seção 2) e oito pontos que o POP vigente já não atende e que a proposta mantém (seção 3). Recomenda-se corrigir todos na mesma revisão. Os demais pontos foram testados e não apresentam divergência com as normas vigentes.</w:t>
      </w:r>
    </w:p>
    <w:p>
      <w:pPr>
        <w:spacing w:after="100" w:before="0"/>
      </w:pPr>
      <w:r>
        <w:rPr>
          <w:rFonts w:ascii="Arial" w:cs="Arial" w:eastAsia="Arial" w:hAnsi="Arial"/>
          <w:b/>
          <w:bCs/>
          <w:sz w:val="20"/>
          <w:szCs w:val="20"/>
        </w:rPr>
        <w:t xml:space="preserve">Os cinco pontos de prioridade alta são: </w:t>
      </w:r>
      <w:r>
        <w:rPr>
          <w:rFonts w:ascii="Arial" w:cs="Arial" w:eastAsia="Arial" w:hAnsi="Arial"/>
          <w:sz w:val="20"/>
          <w:szCs w:val="20"/>
        </w:rPr>
        <w:t xml:space="preserve">consulta a SIGA, CNEP e CEIS (ponto 1); parecer obrigatório da ASSJUR (ponto 2); ratificação pelo Diretor-Presidente (ponto 8); exceções à DDI sem base normativa (ponto 9); justificativa do preço e razão da escolha do fornecedor (ponto 10).</w:t>
      </w:r>
    </w:p>
    <w:p>
      <w:pPr>
        <w:spacing w:after="100" w:before="0"/>
      </w:pPr>
      <w:r>
        <w:rPr>
          <w:rFonts w:ascii="Arial" w:cs="Arial" w:eastAsia="Arial" w:hAnsi="Arial"/>
          <w:b/>
          <w:bCs/>
          <w:sz w:val="20"/>
          <w:szCs w:val="20"/>
        </w:rPr>
        <w:t xml:space="preserve">Prioridade: </w:t>
      </w:r>
      <w:r>
        <w:rPr>
          <w:rFonts w:ascii="Arial" w:cs="Arial" w:eastAsia="Arial" w:hAnsi="Arial"/>
          <w:sz w:val="20"/>
          <w:szCs w:val="20"/>
        </w:rPr>
        <w:t xml:space="preserve">Alta = corrigir antes de aprovar. Média = corrigir nesta revisão. Baixa = recomendável.</w:t>
      </w:r>
    </w:p>
    <w:p>
      <w:pPr>
        <w:pStyle w:val="Heading1"/>
        <w:spacing w:after="120" w:before="280"/>
      </w:pPr>
      <w:r>
        <w:rPr>
          <w:rFonts w:ascii="Arial" w:cs="Arial" w:eastAsia="Arial" w:hAnsi="Arial"/>
          <w:b/>
          <w:bCs/>
          <w:color w:val="1F3864"/>
          <w:sz w:val="26"/>
          <w:szCs w:val="26"/>
        </w:rPr>
        <w:t xml:space="preserve">2. O que a proposta introduz ou agrava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700"/>
        <w:gridCol w:w="2700"/>
        <w:gridCol w:w="3870"/>
        <w:gridCol w:w="9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w:t>
            </w:r>
          </w:p>
        </w:tc>
        <w:tc>
          <w:tcPr>
            <w:tcW w:type="dxa" w:w="4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está errado</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Base</w:t>
            </w:r>
          </w:p>
        </w:tc>
        <w:tc>
          <w:tcPr>
            <w:tcW w:type="dxa" w:w="38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fazer</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Prioridade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item 1. POP vigente, B.1</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proposta retira a consulta a SIGA, CNEP e CEIS. Fica só a verificação de "Certidões", que não equivale à consulta às listas de sanção.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Lei 13.303/2016, art. 38; RILC, art. 10 (impedimento de contratar empresa suspensa, impedida ou declarada inidônea).</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Manter a consulta a SIGA, CNEP e CEIS entre os controles do item 1, antes da contratação.</w:t>
            </w:r>
          </w:p>
        </w:tc>
        <w:tc>
          <w:tcPr>
            <w:tcW w:type="dxa" w:w="9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40"/>
            </w:pPr>
            <w:r>
              <w:rPr>
                <w:rFonts w:ascii="Arial" w:cs="Arial" w:eastAsia="Arial" w:hAnsi="Arial"/>
                <w:b/>
                <w:bCs/>
                <w:sz w:val="18"/>
                <w:szCs w:val="18"/>
              </w:rPr>
              <w:t xml:space="preserve">Alta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item 1 (texto inicial). POP vigente, A.9 e A.10</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proposta prevê documentos "já aprovados pela ASSJUR, se necessário". O Regimento torna obrigatório o parecer prévio da ASSJUR sobre inexigibilidade e dispensa, ressalvada a dispensa em razão do valor, a critério do administrador.</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Regimento Interno, art. 22.</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Dizer que o parecer é obrigatório na inexigibilidade e na dispensa. Só a dispensa em razão do valor pode ficar sem parecer, a critério do administrador, com registro nos autos.</w:t>
            </w:r>
          </w:p>
        </w:tc>
        <w:tc>
          <w:tcPr>
            <w:tcW w:type="dxa" w:w="9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40"/>
            </w:pPr>
            <w:r>
              <w:rPr>
                <w:rFonts w:ascii="Arial" w:cs="Arial" w:eastAsia="Arial" w:hAnsi="Arial"/>
                <w:b/>
                <w:bCs/>
                <w:sz w:val="18"/>
                <w:szCs w:val="18"/>
              </w:rPr>
              <w:t xml:space="preserve">Alta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itens 1 e 3(c). POP vigente, B.1(b), B.3(c) e B.4(c)</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verificação das recomendações da ASSJUR sai do início, passa a "caso aplicável" e só ocorre depois da DDI. A manifestação da SUPADM deixa de citar o RILC. O Regimento manda certificar que "todas" as recomendações foram atendidas.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Regimento Interno, art. 29, IV.</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Restabelecer a verificação antes da DDI, sem a condição "caso aplicável", e a referência ao RILC na manifestação da SUPADM.</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itens 1(d) (2º) e 2(c). POP vigente, B.1(d) e B.2(b)</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DDI passa a ser feita "de acordo com o valor", sem dizer qual. Saem os critérios de alto grau de risco de integridade e de Política de Alçada, e o Relatório deixa de trazer "medidas a serem adotadas".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Regimento Interno, art. 18 (integridade nos processos de contratação); RILC, art. 4º, V.</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Definir o critério que torna a DDI obrigatória (o valor ou o ato que o fixe) e manter, no Relatório, as medidas a adotar.</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item 1(d) (1º), observação e controles. POP vigente, A.8(b)</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proposta pede ao fornecedor o formulário de avaliação do Programa de Integridade antes da contratação e não diz se valor e prazo são cumulativos. A Lei 7.753 dá 180 dias depois da assinatura para implantar o programa e, antes disso, pede só a declaração de quem já o possui.</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Lei 7.753/2017, arts. 1º, 4º, 5º e 10.</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Deixar claro que a avaliação prévia serve de insumo de risco e não condiciona a contratação. Pedir a declaração do art. 10 a quem já tem programa e avisar os demais do prazo de 180 dias. Citar a lei e dizer que valor e prazo são cumulativos (UFIR-RJ do ano da contratação).</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itens 3(e), 4, 5 e 6(a). POP vigente, B.9 a B.11</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Nota de Empenho não tem etapa nem responsável, a NAD é emitida duas vezes (itens 4 e 5) e SUPLAN e DIRPLA/GERORT parecem tratar da mesma função. A ordem nova, com a NAD antes da assinatura, é uma melhora.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RILC, art. 121, V (compatibilidade orçamentária). Lei 4.320/1964, art. 60: confirmar com orçamento e finanças.</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Criar a etapa de autorização e emissão da NE, com responsável, antes da assinatura. Eliminar a duplicidade da NAD e uniformizar a unidade responsável.</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Proposta, itens 1, 3, 4 e 8</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Há letras repetidas (dois "d" no item 1 e dois "b" no item 3), o que compromete as remissões. O item 8 remete ao "passo a" sem dizer de qual POP.</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Rastreabilidade (Programa de Conformidade).</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Corrigir a numeração e as remissões.</w:t>
            </w:r>
          </w:p>
        </w:tc>
        <w:tc>
          <w:tcPr>
            <w:tcW w:type="dxa" w:w="9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40"/>
            </w:pPr>
            <w:r>
              <w:rPr>
                <w:rFonts w:ascii="Arial" w:cs="Arial" w:eastAsia="Arial" w:hAnsi="Arial"/>
                <w:b/>
                <w:bCs/>
                <w:sz w:val="18"/>
                <w:szCs w:val="18"/>
              </w:rPr>
              <w:t xml:space="preserve">Baixa</w:t>
            </w:r>
          </w:p>
        </w:tc>
      </w:tr>
    </w:tbl>
    <w:p>
      <w:pPr>
        <w:pStyle w:val="Heading1"/>
        <w:spacing w:after="120" w:before="280"/>
      </w:pPr>
      <w:r>
        <w:rPr>
          <w:rFonts w:ascii="Arial" w:cs="Arial" w:eastAsia="Arial" w:hAnsi="Arial"/>
          <w:b/>
          <w:bCs/>
          <w:color w:val="1F3864"/>
          <w:sz w:val="26"/>
          <w:szCs w:val="26"/>
        </w:rPr>
        <w:t xml:space="preserve">3. O que o POP vigente já não atende e a proposta mantém</w:t>
      </w:r>
    </w:p>
    <w:p>
      <w:pPr>
        <w:spacing w:after="100" w:before="0"/>
      </w:pPr>
      <w:r>
        <w:rPr>
          <w:rFonts w:ascii="Arial" w:cs="Arial" w:eastAsia="Arial" w:hAnsi="Arial"/>
          <w:i/>
          <w:iCs/>
          <w:sz w:val="18"/>
          <w:szCs w:val="18"/>
        </w:rPr>
        <w:t xml:space="preserve">São pontos que já existiam. A revisão é a oportunidade de corrigi-los.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700"/>
        <w:gridCol w:w="2700"/>
        <w:gridCol w:w="3870"/>
        <w:gridCol w:w="9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w:t>
            </w:r>
          </w:p>
        </w:tc>
        <w:tc>
          <w:tcPr>
            <w:tcW w:type="dxa" w:w="4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está errado</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Base</w:t>
            </w:r>
          </w:p>
        </w:tc>
        <w:tc>
          <w:tcPr>
            <w:tcW w:type="dxa" w:w="38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fazer</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Prioridade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A.3, B.5 e B.6. Proposta, item 5</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Nem o POP vigente nem a proposta preveem a ratificação da dispensa ou da inexigibilidade pelo Diretor-Presidente. A autorização do passo A.3 é para iniciar o procedimento.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RILC, art. 123.</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Criar o passo de ratificação pelo Diretor-Presidente, no SEI, antes da assinatura.</w:t>
            </w:r>
          </w:p>
        </w:tc>
        <w:tc>
          <w:tcPr>
            <w:tcW w:type="dxa" w:w="9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40"/>
            </w:pPr>
            <w:r>
              <w:rPr>
                <w:rFonts w:ascii="Arial" w:cs="Arial" w:eastAsia="Arial" w:hAnsi="Arial"/>
                <w:b/>
                <w:bCs/>
                <w:sz w:val="18"/>
                <w:szCs w:val="18"/>
              </w:rPr>
              <w:t xml:space="preserve">Alta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B.1(e). Proposta, item 1(d) (2º)</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 POP dispensa a DDI em quatro situações: valor abaixo de R$ 20.000,00, aditivo, adesão a Ata de Registro de Preços e contratação com órgãos públicos. Nenhuma tem base normativa. Aditivo e ARP não são contratação direta, e "órgãos da Administração Pública" não diz se inclui empresas estatais.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Sem norma que ampare as exceções. A função de integridade está no Regimento, art. 18, no Estatuto, art. 72, e no Código de Conduta, seção 4.2.</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Indicar a norma de cada exceção ou retirá-la. Dizer se "órgãos públicos" inclui empresas estatais.</w:t>
            </w:r>
          </w:p>
        </w:tc>
        <w:tc>
          <w:tcPr>
            <w:tcW w:type="dxa" w:w="9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40"/>
            </w:pPr>
            <w:r>
              <w:rPr>
                <w:rFonts w:ascii="Arial" w:cs="Arial" w:eastAsia="Arial" w:hAnsi="Arial"/>
                <w:b/>
                <w:bCs/>
                <w:sz w:val="18"/>
                <w:szCs w:val="18"/>
              </w:rPr>
              <w:t xml:space="preserve">Alta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A.4(c) e A.5. Proposta, item 1(c)</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justificativa do preço e a razão da escolha do fornecedor não são conferidas como obrigatórias. O POP vigente não as cita e a proposta só verifica a pesquisa "se o Parecer ponderar".</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Lei 13.303/2016, art. 30, §3º, II e III; RILC, art. 121, VI e VII e parágrafo único, e art. 21.</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Conferir sempre os dois elementos. Na inexigibilidade, comparar com os preços que a contratada pratica com outros entes. Na dispensa, usar o art. 21 do RILC e manter a Orientação PGE 13 como complemento.</w:t>
            </w:r>
          </w:p>
        </w:tc>
        <w:tc>
          <w:tcPr>
            <w:tcW w:type="dxa" w:w="900"/>
            <w:tcBorders>
              <w:top w:val="single" w:color="A6A6A6" w:sz="4"/>
              <w:left w:val="single" w:color="A6A6A6" w:sz="4"/>
              <w:bottom w:val="single" w:color="A6A6A6" w:sz="4"/>
              <w:right w:val="single" w:color="A6A6A6" w:sz="4"/>
            </w:tcBorders>
            <w:shd w:fill="F8CBAD" w:color="auto" w:val="clear"/>
            <w:tcMar>
              <w:top w:type="dxa" w:w="60"/>
              <w:left w:type="dxa" w:w="90"/>
              <w:bottom w:type="dxa" w:w="60"/>
              <w:right w:type="dxa" w:w="90"/>
            </w:tcMar>
          </w:tcPr>
          <w:p>
            <w:pPr>
              <w:spacing w:after="40"/>
            </w:pPr>
            <w:r>
              <w:rPr>
                <w:rFonts w:ascii="Arial" w:cs="Arial" w:eastAsia="Arial" w:hAnsi="Arial"/>
                <w:b/>
                <w:bCs/>
                <w:sz w:val="18"/>
                <w:szCs w:val="18"/>
              </w:rPr>
              <w:t xml:space="preserve">Alta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A.4(c). Proposta, item 1(b)</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inexigibilidade só é conferida pela exclusividade. Ficam de fora a notória especialização e a checagem da veracidade da documentação.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Lei 13.303/2016, art. 30, II e §1º; RILC, art. 125, II e §§ 1º e 2º.</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Incluir a conferência do inciso II, as formas de prova de exclusividade do RILC, art. 125, §1º, e a confirmação da veracidade dos documentos.</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B.3(e). Proposta, item 6(b)</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há convocação formal do fornecedor para assinar, com prazo de 5 dias úteis e lista de documentos. O fornecedor assina antes das aprovações da DIRAF e da Presidência.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RILC, art. 136.</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Criar a convocação depois das aprovações internas e só então a assinatura do fornecedor.</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B.3(f) e B.6. Proposta, item 8</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Só se prevê o extrato no DOERJ. Falta a publicação da íntegra do contrato no site da CENTRAL em até 30 dias.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RILC, art. 137.</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Incluir a publicação no site, com prazo e responsável. Pelo Regimento, art. 30, a GERLIC prepara a matéria e a CHEGAB providencia a publicação.</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B.5 e B.6. Proposta, itens 7 e 8</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há etapa de autorização da Diretoria Executiva para contratos de valor igual ou superior ao da modalidade concorrência. Só há aprovação da DIRAF e assinatura da Presidência.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Estatuto, art. 34, VI.</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Incluir a autorização da Diretoria Executiva antes da assinatura, nos contratos acima desse valor (inclui inexigibilidades de valor alto).</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POP vigente, B.12. Proposta, item 9</w:t>
            </w:r>
          </w:p>
        </w:tc>
        <w:tc>
          <w:tcPr>
            <w:tcW w:type="dxa" w:w="4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 POP não atribui ao Gestor do Contrato a fiscalização do Programa de Integridade: acompanhar o prazo de 180 dias, receber a prova documental e informar o Ordenador de Despesas sobre descumprimento ou atraso.</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Lei 7.753/2017, arts. 6º, 11 e 12.</w:t>
            </w:r>
          </w:p>
        </w:tc>
        <w:tc>
          <w:tcPr>
            <w:tcW w:type="dxa" w:w="38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Incluir essa atribuição na etapa de execução ou remeter ao procedimento específico. A ASSGER atua como apoio técnico, preservando a segregação de funções.</w:t>
            </w:r>
          </w:p>
        </w:tc>
        <w:tc>
          <w:tcPr>
            <w:tcW w:type="dxa" w:w="900"/>
            <w:tcBorders>
              <w:top w:val="single" w:color="A6A6A6" w:sz="4"/>
              <w:left w:val="single" w:color="A6A6A6" w:sz="4"/>
              <w:bottom w:val="single" w:color="A6A6A6" w:sz="4"/>
              <w:right w:val="single" w:color="A6A6A6" w:sz="4"/>
            </w:tcBorders>
            <w:shd w:fill="FFE699" w:color="auto" w:val="clear"/>
            <w:tcMar>
              <w:top w:type="dxa" w:w="60"/>
              <w:left w:type="dxa" w:w="90"/>
              <w:bottom w:type="dxa" w:w="60"/>
              <w:right w:type="dxa" w:w="90"/>
            </w:tcMar>
          </w:tcPr>
          <w:p>
            <w:pPr>
              <w:spacing w:after="40"/>
            </w:pPr>
            <w:r>
              <w:rPr>
                <w:rFonts w:ascii="Arial" w:cs="Arial" w:eastAsia="Arial" w:hAnsi="Arial"/>
                <w:b/>
                <w:bCs/>
                <w:sz w:val="18"/>
                <w:szCs w:val="18"/>
              </w:rPr>
              <w:t xml:space="preserve">Média</w:t>
            </w:r>
          </w:p>
        </w:tc>
      </w:tr>
    </w:tbl>
    <w:p>
      <w:pPr>
        <w:pStyle w:val="Heading1"/>
        <w:spacing w:after="120" w:before="280"/>
      </w:pPr>
      <w:r>
        <w:rPr>
          <w:rFonts w:ascii="Arial" w:cs="Arial" w:eastAsia="Arial" w:hAnsi="Arial"/>
          <w:b/>
          <w:bCs/>
          <w:color w:val="1F3864"/>
          <w:sz w:val="26"/>
          <w:szCs w:val="26"/>
        </w:rPr>
        <w:t xml:space="preserve">4. Atenção: novo RILC (Minuta ainda não aprovada)</w:t>
      </w:r>
    </w:p>
    <w:p>
      <w:pPr>
        <w:spacing w:after="100" w:before="0"/>
      </w:pPr>
      <w:r>
        <w:rPr>
          <w:rFonts w:ascii="Arial" w:cs="Arial" w:eastAsia="Arial" w:hAnsi="Arial"/>
          <w:i/>
          <w:iCs/>
          <w:sz w:val="18"/>
          <w:szCs w:val="18"/>
        </w:rPr>
        <w:t xml:space="preserve">Esta seção não aponta não conformidade, porque a Minuta não está em vigor. Registra pontos que exigirão nova revisão do POP quando o novo RILC for aprovado.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11770"/>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Tema</w:t>
            </w:r>
          </w:p>
        </w:tc>
        <w:tc>
          <w:tcPr>
            <w:tcW w:type="dxa" w:w="117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a Minuta prevê e o impacto no POP</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DDI para todos</w:t>
            </w:r>
          </w:p>
        </w:tc>
        <w:tc>
          <w:tcPr>
            <w:tcW w:type="dxa" w:w="11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Minuta submete todos os interessados em iniciar ou manter relacionamento com a CENTRAL a diligências de integridade, sem exceção à realização da DDI. As quatro exceções do POP (ponto 9) deixariam de ter amparo.</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Risco de integridade alto</w:t>
            </w:r>
          </w:p>
        </w:tc>
        <w:tc>
          <w:tcPr>
            <w:tcW w:type="dxa" w:w="11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Quem receber grau de risco alto não poderá participar de procedimentos de contratação, salvo exceções previstas em norma interna. O POP precisará tratar esse impedimento.</w:t>
            </w:r>
          </w:p>
        </w:tc>
      </w:tr>
    </w:tbl>
    <w:p>
      <w:pPr>
        <w:spacing w:after="100" w:before="120"/>
      </w:pPr>
      <w:r>
        <w:rPr>
          <w:rFonts w:ascii="Arial" w:cs="Arial" w:eastAsia="Arial" w:hAnsi="Arial"/>
          <w:sz w:val="20"/>
          <w:szCs w:val="20"/>
        </w:rPr>
        <w:t xml:space="preserve">Há outras diferenças entre as versões da Minuta em circulação (pesquisa de preços, documentos exigidos na assinatura e formas de provar exclusividade). Elas devem ser conferidas na versão final, antes da nova revisão do POP.</w:t>
      </w:r>
    </w:p>
    <w:p>
      <w:pPr>
        <w:pStyle w:val="Heading1"/>
        <w:spacing w:after="120" w:before="280"/>
      </w:pPr>
      <w:r>
        <w:rPr>
          <w:rFonts w:ascii="Arial" w:cs="Arial" w:eastAsia="Arial" w:hAnsi="Arial"/>
          <w:b/>
          <w:bCs/>
          <w:color w:val="1F3864"/>
          <w:sz w:val="26"/>
          <w:szCs w:val="26"/>
        </w:rPr>
        <w:t xml:space="preserve">5. Próximos passos</w:t>
      </w:r>
    </w:p>
    <w:p>
      <w:pPr>
        <w:pStyle w:val="ListParagraph"/>
        <w:numPr>
          <w:ilvl w:val="0"/>
          <w:numId w:val="2"/>
        </w:numPr>
        <w:spacing w:after="60"/>
      </w:pPr>
      <w:r>
        <w:rPr>
          <w:rFonts w:ascii="Arial" w:cs="Arial" w:eastAsia="Arial" w:hAnsi="Arial"/>
          <w:sz w:val="20"/>
          <w:szCs w:val="20"/>
        </w:rPr>
        <w:t xml:space="preserve">SUPADM: reapresentar a proposta com os ajustes das seções 2 e 3.</w:t>
      </w:r>
    </w:p>
    <w:p>
      <w:pPr>
        <w:pStyle w:val="ListParagraph"/>
        <w:numPr>
          <w:ilvl w:val="0"/>
          <w:numId w:val="2"/>
        </w:numPr>
        <w:spacing w:after="60"/>
      </w:pPr>
      <w:r>
        <w:rPr>
          <w:rFonts w:ascii="Arial" w:cs="Arial" w:eastAsia="Arial" w:hAnsi="Arial"/>
          <w:sz w:val="20"/>
          <w:szCs w:val="20"/>
        </w:rPr>
        <w:t xml:space="preserve">ASSGER: reanalisar a nova versão da proposta.</w:t>
      </w:r>
    </w:p>
    <w:p>
      <w:pPr>
        <w:pStyle w:val="ListParagraph"/>
        <w:numPr>
          <w:ilvl w:val="0"/>
          <w:numId w:val="2"/>
        </w:numPr>
        <w:spacing w:after="60"/>
      </w:pPr>
      <w:r>
        <w:rPr>
          <w:rFonts w:ascii="Arial" w:cs="Arial" w:eastAsia="Arial" w:hAnsi="Arial"/>
          <w:sz w:val="20"/>
          <w:szCs w:val="20"/>
        </w:rPr>
        <w:t xml:space="preserve">Quando o novo RILC for aprovado: revisar o POP nos pontos da seção 4.</w:t>
      </w:r>
    </w:p>
    <w:p>
      <w:pPr>
        <w:spacing w:after="100" w:before="240"/>
      </w:pPr>
      <w:r>
        <w:rPr>
          <w:rFonts w:ascii="Arial" w:cs="Arial" w:eastAsia="Arial" w:hAnsi="Arial"/>
          <w:sz w:val="20"/>
          <w:szCs w:val="20"/>
        </w:rPr>
        <w:t xml:space="preserve">ASSGER, [data]</w:t>
      </w:r>
    </w:p>
    <w:p>
      <w:r>
        <w:br w:type="page"/>
      </w:r>
    </w:p>
    <w:p>
      <w:pPr>
        <w:pStyle w:val="Heading1"/>
        <w:spacing w:after="120" w:before="280"/>
      </w:pPr>
      <w:r>
        <w:rPr>
          <w:rFonts w:ascii="Arial" w:cs="Arial" w:eastAsia="Arial" w:hAnsi="Arial"/>
          <w:b/>
          <w:bCs/>
          <w:color w:val="1F3864"/>
          <w:sz w:val="26"/>
          <w:szCs w:val="26"/>
        </w:rPr>
        <w:t xml:space="preserve">Anexo A. Comparação entre o POP vigente e a proposta da SUPADM</w:t>
      </w:r>
    </w:p>
    <w:p>
      <w:pPr>
        <w:spacing w:after="100" w:before="0"/>
      </w:pPr>
      <w:r>
        <w:rPr>
          <w:rFonts w:ascii="Arial" w:cs="Arial" w:eastAsia="Arial" w:hAnsi="Arial"/>
          <w:b/>
          <w:bCs/>
          <w:sz w:val="20"/>
          <w:szCs w:val="20"/>
        </w:rPr>
        <w:t xml:space="preserve">Objetivo: </w:t>
      </w:r>
      <w:r>
        <w:rPr>
          <w:rFonts w:ascii="Arial" w:cs="Arial" w:eastAsia="Arial" w:hAnsi="Arial"/>
          <w:sz w:val="20"/>
          <w:szCs w:val="20"/>
        </w:rPr>
        <w:t xml:space="preserve">comparar a redação vigente do POP (etapas B.1 a B.12) com a proposta da SUPADM (itens 1 a 9), identificando o que saiu, o que saiu em parte e o que foi incluído. A proposta não traz justificativa para as alterações.</w:t>
      </w:r>
    </w:p>
    <w:p>
      <w:pPr>
        <w:spacing w:after="100" w:before="0"/>
      </w:pPr>
      <w:r>
        <w:rPr>
          <w:rFonts w:ascii="Arial" w:cs="Arial" w:eastAsia="Arial" w:hAnsi="Arial"/>
          <w:b/>
          <w:bCs/>
          <w:sz w:val="20"/>
          <w:szCs w:val="20"/>
        </w:rPr>
        <w:t xml:space="preserve">Critério: </w:t>
      </w:r>
      <w:r>
        <w:rPr>
          <w:rFonts w:ascii="Arial" w:cs="Arial" w:eastAsia="Arial" w:hAnsi="Arial"/>
          <w:sz w:val="20"/>
          <w:szCs w:val="20"/>
        </w:rPr>
        <w:t xml:space="preserve">uma ação só é listada como "saiu por completo" se não aparece em nenhum ponto da proposta. Se permanece, ainda que em outro item, com outro responsável ou com redação reduzida, consta como "saiu em parte".</w:t>
      </w:r>
    </w:p>
    <w:p>
      <w:pPr>
        <w:spacing w:after="100" w:before="0"/>
      </w:pPr>
      <w:r>
        <w:rPr>
          <w:rFonts w:ascii="Arial" w:cs="Arial" w:eastAsia="Arial" w:hAnsi="Arial"/>
          <w:b/>
          <w:bCs/>
          <w:sz w:val="20"/>
          <w:szCs w:val="20"/>
        </w:rPr>
        <w:t xml:space="preserve">Referências: </w:t>
      </w:r>
      <w:r>
        <w:rPr>
          <w:rFonts w:ascii="Arial" w:cs="Arial" w:eastAsia="Arial" w:hAnsi="Arial"/>
          <w:sz w:val="20"/>
          <w:szCs w:val="20"/>
        </w:rPr>
        <w:t xml:space="preserve">no POP vigente, os itens de cada etapa são numerados automaticamente (a, b, c...). Na proposta há letras repetidas (o item 1 tem dois "d" e o item 3 repete o "b"); por isso, quando necessário, cita-se "(1º)" ou "(2º)" para indicar a ordem em que a letra aparece.</w:t>
      </w:r>
    </w:p>
    <w:p>
      <w:pPr>
        <w:pStyle w:val="Heading2"/>
        <w:spacing w:after="100" w:before="200"/>
      </w:pPr>
      <w:r>
        <w:rPr>
          <w:rFonts w:ascii="Arial" w:cs="Arial" w:eastAsia="Arial" w:hAnsi="Arial"/>
          <w:b/>
          <w:bCs/>
          <w:color w:val="1F3864"/>
          <w:sz w:val="22"/>
          <w:szCs w:val="22"/>
        </w:rPr>
        <w:t xml:space="preserve">A.1 Ações do POP vigente que saíram por completo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707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5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estava</w:t>
            </w:r>
          </w:p>
        </w:tc>
        <w:tc>
          <w:tcPr>
            <w:tcW w:type="dxa" w:w="70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Situação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Coluna PRAZO (estimado):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Cabeçalho da tabela</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Coluna suprimida. Não há mais prazos.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Caso necessário, encaminhar para a ASSJUR para uma nova análise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 item c</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Verificar se o contratado não está na lista de empresas vedadas nos sistemas SIGA, CNEP e CEIS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 Controles necessários</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 Permanece só o controle de "Certidões inseridas e atualizadas".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Após aprovar o Planejamento no SIGA, clicar em "concluir"</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B.4, item b</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CHEGAB: elaborar a minuta de Despacho de autorização da NAD (Anexo II) e encaminhar ao Diretor Presidente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B.10</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PRESI: assinar a minuta de Despacho (Anexo II)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B.10</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PRESI: autorizar a emissão da Nota de Empenho no SIGA e encaminhar à DIRPLA/GERORT (a redação vigente escreve "Nota de Empenho – NAD")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B.10, item b</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 O item 5 da sugestão trata só da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GERORT/DIRPLA: emitir a Nota de Empenho (NE) como etapa própria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B.11</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Sem etapa nem responsável. A NE aparece apenas como dado do termo de contrato (6a) e, de passagem, como "NAD/Empenho" (3e).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Remeter o processo ao setor de Compras para registro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B.11</w:t>
            </w:r>
          </w:p>
        </w:tc>
        <w:tc>
          <w:tcPr>
            <w:tcW w:type="dxa" w:w="70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Não consta.</w:t>
            </w:r>
          </w:p>
        </w:tc>
      </w:tr>
    </w:tbl>
    <w:p>
      <w:pPr>
        <w:pStyle w:val="Heading2"/>
        <w:spacing w:after="100" w:before="200"/>
      </w:pPr>
      <w:r>
        <w:rPr>
          <w:rFonts w:ascii="Arial" w:cs="Arial" w:eastAsia="Arial" w:hAnsi="Arial"/>
          <w:b/>
          <w:bCs/>
          <w:color w:val="1F3864"/>
          <w:sz w:val="22"/>
          <w:szCs w:val="22"/>
        </w:rPr>
        <w:t xml:space="preserve">A.2 Ações que saíram em parte ou perderam conteúdo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500"/>
        <w:gridCol w:w="4800"/>
        <w:gridCol w:w="447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Etapa</w:t>
            </w:r>
          </w:p>
        </w:tc>
        <w:tc>
          <w:tcPr>
            <w:tcW w:type="dxa" w:w="4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saiu</w:t>
            </w:r>
          </w:p>
        </w:tc>
        <w:tc>
          <w:tcPr>
            <w:tcW w:type="dxa" w:w="44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Como ficou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Conferência e ajuste das minutas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 item a</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Conferência das informações inseridas pela área demandante; ajuste do Edital; Minuta-Padrão PGE. "Termo de Conformidade" virou "Declaração de Conformidade".</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1a: ajustar a minuta do Instrumento Contratual e da Declaração de Conformidade "de acordo com Parecer e certificar".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Verificação do atendimento das recomendações da ASSJUR e manifestação de que o processo está instruído de acordo com o RILC</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 item b, e B.3</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Saiu do tópico 1 (antes da DDI). Perdeu a condição "caso positivo". No tópico 1 restou só o controle "verificar se as exigências da ASSJUR foram atendidas, caso houver".</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3c (após a DDI), uma única vez: "caso aplicável [...] apresentando justificativa".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Realizar a Avaliação de Conformidade/DDI, ou encaminhá-la à ASSGER, obrigatoriamente nos casos definidos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 item d</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"Realizar"; "Avaliação de Conformidade"; "obrigatoriamente"; os critérios de alto grau de risco de integridade (ato da Diretoria ou do Conselho) e de valor acima da Política de Alçada.</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1d (2º): "encaminhar [...] solicitando a realização do DDI, de acordo com o valor", sem definir o valor. A lista de exceções (abaixo de R$ 20.000,00, aditivo, ARP, órgãos públicos) foi mantida.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Realizar a DDI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B.2</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"Avaliação de Conformidade".</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2a: "realizar o DDI".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Relatório da DDI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B.2</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Exigência de o Relatório trazer "medidas a serem adotadas". O retorno dos autos deixou de ser à GERLIC.</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2c: elaborar o Relatório de DDI (e o de Avaliação do Programa de Integridade, se aplicável) e restituir os autos à SUPADM.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Verificar as recomendações do Relatório de DDI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B.3</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Condição "caso aplicável".</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3a: verificar o grau de risco e as recomendações, sem condição.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Preparar o Contrato ou Instrumento Contratual</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B.3</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"Preparar"; "ou instrumento equivalente"; a condição alternativa ("atender às recomendações ou não haver impedimentos") virou cumulativa.</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6d: "e não havendo impedimentos, o instrumento contratual é disponibilizado para assinatura". 6a: complementar os dados do "termo de contrato".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Manifestação expressa do titular da SUPADM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B.4, item c</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Referência ao RILC e o advérbio "devidamente".</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6e: processo "instruído e em condições de ser enviado para assinatura dos Diretores", com as recomendações da ASSJUR cumpridas.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PRESI: assinar a Portaria e determinar a publicação no DOERJ</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B.6</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Aviso de Licitação (caso aplicável).</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(PRESI, a): "determinar a publicação no DOERJ".</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10</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PRESI: encaminhar o processo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B.6</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GERADM como destinatária.</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(PRESI, d): DIRAF e Gestores do SIGFIS.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11</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Criar a Contratação no SIGA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B.7</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Remessa do processo à DIRAF.</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 (2º b): "a GERADM faz a contratação no SIGA", sem remessa à DIRAF.</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12</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Aprovar a Contratação no SIGA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B.8</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Solicitação à DIRPLA/GERORT da autorização da emissão da NAD.</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Item 5: a PRESI aprova e encaminha à DIRPLA/GERORT "que irá emitir 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13</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Emitir a NAD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B.9</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Verificação prévia do processo e "no sistema SIGA".</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4a: "emite a NAD e faz o planejamento".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14</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Encaminhar à CHEGAB</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B.9</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Solicitação de autorização da emissão de empenho pelo Presidente.</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4b: "para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15</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CHEGAB: encaminhar ao Presidente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B.10</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Autorização do empenhamento da despesa.</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5b: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16</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Registro do contrato no TCE-RJ</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B.12</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Expressão "registro do Contrato".</w:t>
            </w:r>
          </w:p>
        </w:tc>
        <w:tc>
          <w:tcPr>
            <w:tcW w:type="dxa" w:w="4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(PRESI, d): "lançamento no TCE", pelos Gestores do SIGFIS.</w:t>
            </w:r>
          </w:p>
        </w:tc>
      </w:tr>
    </w:tbl>
    <w:p>
      <w:pPr>
        <w:pStyle w:val="Heading2"/>
        <w:spacing w:after="100" w:before="200"/>
      </w:pPr>
      <w:r>
        <w:rPr>
          <w:rFonts w:ascii="Arial" w:cs="Arial" w:eastAsia="Arial" w:hAnsi="Arial"/>
          <w:b/>
          <w:bCs/>
          <w:color w:val="1F3864"/>
          <w:sz w:val="22"/>
          <w:szCs w:val="22"/>
        </w:rPr>
        <w:t xml:space="preserve">A.3 Ações incluídas na proposta que não constam no POP vigente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0570"/>
        <w:gridCol w:w="3500"/>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057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incluída</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está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Receber e validar os documentos da fase preparatória (já aprovados pela ASSJUR, se necessário), conforme o POP de Elaboração de Documentos da Fase Preparatória</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Item 1, texto inicial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Nas inexigibilidades, certificar a juntada da documentação comprobatória de exclusividade no fornecimento do bem ou serviço</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 o Parecer ponderar sobre a pesquisa de mercado, verificar se os fornecedores foram selecionados pelo SIGA. Se foram de fora, conferir os itens da Orientação Administrativa PGE nº 13: justificativa da fonte, pertinência temática, e-mail funcional com identificação do empregado, e prints ou PDFs com data</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4</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Verificar o valor e as condições do contrato e, caso necessário, encaminhar o Formulário de Avaliação do Programa de Integridade ao fornecedor: valor superior a 455.387,23 UFIR (obras e engenharia) ou 197.334,47 UFIR (compras e serviços) e prazo igual ou superior a 180 dias. A redação não esclarece se valor e prazo são cumulativos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1d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Abrir novo processo SEI para a avaliação do Programa de Integridade, conforme o Procedimento Padrão específico</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Observação do 1d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Controle: verificar se consta nos autos a Declaração de Disponibilidade Orçamentária</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Controles do item 1 (3º)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7</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Controle: a DDI será realizada mesmo que o fornecedor não envie o Formulário e os documentos comprobatórios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Controles do item 1 (último)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Inserir o resultado da avaliação do Programa de Integridade no processo SEI específico e citá-lo no Relatório de DDI</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Elaborar o Relatório de Avaliação do Programa de Integridade, se aplicável</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2c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10</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Verificar o grau de risco atribuído ao fornecedor</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11</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 o risco for médio ou alto, avaliar a necessidade de alertar o(s) Diretor(es) para procedimentos adicionais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3b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12</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SUPADM inicia a contratação no SIAFE/RIO, em paralelo com a GERADM</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13</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SUPADM envia o processo à SUPLAN para emitir NAD/Empenho no SIGA/RJ</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3e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14</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CHEGAB verifica a instrução processual antes de encaminhar à PRESI</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5a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15</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DIRAF assina o contrato</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6f e 7b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16</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CHEGAB verifica também o grau de risco apurado no Relatório de DDI</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(CHEGAB,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17</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Encaminhar aos Gestores do SIGFIS para lançamento no TCE, com posterior envio à CHEGAB para apreciação e consolidação dos atos</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8 (PRESI, 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18</w:t>
            </w:r>
          </w:p>
        </w:tc>
        <w:tc>
          <w:tcPr>
            <w:tcW w:type="dxa" w:w="105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Gestor do Contrato completa os dados no SIAFE-RIO e no SIGA</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9c</w:t>
            </w:r>
          </w:p>
        </w:tc>
      </w:tr>
    </w:tbl>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Posicionamento da ASSGER sobre a proposta de revisão do POP de Contratação Direta ou por Inexigibilidade</dc:title>
  <dc:creator>ASSGER</dc:creator>
  <cp:lastModifiedBy>Un-named</cp:lastModifiedBy>
  <cp:revision>1</cp:revision>
  <dcterms:created xsi:type="dcterms:W3CDTF">2026-10-15T15:38:41.969Z</dcterms:created>
  <dcterms:modified xsi:type="dcterms:W3CDTF">2026-10-15T15:38:41.971Z</dcterms:modified>
</cp:coreProperties>
</file>

<file path=docProps/custom.xml><?xml version="1.0" encoding="utf-8"?>
<Properties xmlns="http://schemas.openxmlformats.org/officeDocument/2006/custom-properties" xmlns:vt="http://schemas.openxmlformats.org/officeDocument/2006/docPropsVTypes"/>
</file>