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</w:rPr>
        <w:t>Governo do Estado do Rio de Janeiro</w:t>
      </w:r>
    </w:p>
    <w:p>
      <w:pPr>
        <w:spacing w:after="0"/>
        <w:jc w:val="center"/>
      </w:pPr>
      <w:r>
        <w:rPr>
          <w:b w:val="0"/>
        </w:rPr>
        <w:t>Companhia Estadual de Engenharia de Transportes e Logística</w:t>
      </w:r>
    </w:p>
    <w:p>
      <w:pPr>
        <w:spacing w:after="200"/>
        <w:jc w:val="center"/>
      </w:pPr>
      <w:r>
        <w:rPr>
          <w:b w:val="0"/>
        </w:rPr>
        <w:t>Assessoria de Governança, Riscos e Compliance – ASSGER</w:t>
      </w:r>
    </w:p>
    <w:p>
      <w:pPr>
        <w:spacing w:after="160"/>
        <w:jc w:val="center"/>
      </w:pPr>
      <w:r>
        <w:rPr>
          <w:b/>
        </w:rPr>
        <w:t>DESPACHO – MINUTA</w:t>
      </w:r>
    </w:p>
    <w:p>
      <w:pPr>
        <w:spacing w:after="0"/>
      </w:pPr>
      <w:r>
        <w:rPr>
          <w:b/>
        </w:rPr>
        <w:t>À Chefia de Gabinete – CHEGAB</w:t>
      </w:r>
    </w:p>
    <w:p>
      <w:pPr>
        <w:spacing w:after="0"/>
      </w:pPr>
      <w:r>
        <w:rPr>
          <w:b w:val="0"/>
        </w:rPr>
        <w:t>Processo: SEI-100006/001034/2026</w:t>
      </w:r>
    </w:p>
    <w:p>
      <w:pPr>
        <w:spacing w:after="160"/>
      </w:pPr>
      <w:r>
        <w:rPr>
          <w:b w:val="0"/>
        </w:rPr>
        <w:t>Assunto: proposta da DIREO de aprimoramento do fluxo de inicialização de novos processos administrativos (CI CENTRAL/DIREO nº 77 – SEI 139773496)</w:t>
      </w:r>
    </w:p>
    <w:p>
      <w:pPr>
        <w:keepNext/>
        <w:spacing w:before="240" w:after="80"/>
      </w:pPr>
      <w:r>
        <w:rPr>
          <w:b/>
          <w:sz w:val="24"/>
        </w:rPr>
        <w:t>Contexto e finalidade deste despacho</w:t>
      </w:r>
    </w:p>
    <w:p>
      <w:r>
        <w:rPr>
          <w:b w:val="0"/>
        </w:rPr>
        <w:t>A Diretoria de Engenharia e Operação – DIREO propôs, por meio da CI CENTRAL/DIREO nº 77 (SEI 139773496), que a CENTRAL avalie a adoção de uma etapa de triagem prévia à abertura de novos processos no SEI. A finalidade seria verificar se já existe processo sobre o mesmo assunto antes de autuar um novo, evitando a abertura de processos paralelos e a fragmentação de documentos e informações.</w:t>
      </w:r>
    </w:p>
    <w:p>
      <w:r>
        <w:rPr>
          <w:b w:val="0"/>
        </w:rPr>
        <w:t>O processo já recebeu encaminhamentos da Chefia de Gabinete e da DIRAF e manifestações da Auditoria Interna e dos Pontos Focais do SEI. Este despacho reúne o que já consta dos autos, mostra o que o Regimento Interno estabelece, aponta o que ainda falta e propõe os próximos encaminhamentos, em ordem.</w:t>
      </w:r>
    </w:p>
    <w:p>
      <w:pPr>
        <w:keepNext/>
        <w:spacing w:before="240" w:after="80"/>
      </w:pPr>
      <w:r>
        <w:rPr>
          <w:b/>
          <w:sz w:val="24"/>
        </w:rPr>
        <w:t>Tramitação até aqui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20"/>
              </w:rPr>
              <w:t>Nº SEI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2098"/>
            <w:shd w:val="clear" w:color="auto" w:fill="D9E2F3"/>
          </w:tcPr>
          <w:p>
            <w:r/>
            <w:r>
              <w:rPr>
                <w:b/>
                <w:sz w:val="20"/>
              </w:rPr>
              <w:t>Unidade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20"/>
              </w:rPr>
              <w:t>24/08/2026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139773496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CI CENTRAL/DIREO nº 77 – proposta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DIREO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20"/>
              </w:rPr>
              <w:t>26/08/2026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139818224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Despacho de encaminhamento (PRESI para ciência; ASSGER e AUD)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CHEGAB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20"/>
              </w:rPr>
              <w:t>27/08/2026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140109406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Manifestação preliminar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Auditoria Interna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20"/>
              </w:rPr>
              <w:t>27/08/2026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140164661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Despacho de encaminhamento (PRESI, ASSGER, Pontos Focais, DIRAF com vistas à SUPTIN)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CHEGAB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20"/>
              </w:rPr>
              <w:t>28/08/2026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140181700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Despacho de encaminhamento à SUPTIN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DIRAF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20"/>
              </w:rPr>
              <w:t>01/09/2026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140422979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Manifestação dos Pontos Focais</w:t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  <w:t>Pontos Focais do SEI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sz w:val="24"/>
        </w:rPr>
        <w:t>Manifestação da ASSGER</w:t>
      </w:r>
    </w:p>
    <w:p>
      <w:r>
        <w:rPr>
          <w:b w:val="0"/>
        </w:rPr>
        <w:t>Sob a perspectiva de governança, gestão de riscos e controles internos, entende-se que a questão apresentada é pertinente e merece avaliação, uma vez que a existência de processos paralelos sobre uma mesma matéria pode repercutir na rastreabilidade das informações, na eficiência dos fluxos administrativos e na qualidade dos elementos utilizados para subsidiar a tomada de decisão. A análise insere-se nas competências desta Assessoria previstas no Art. 18 do Regimento Interno, em especial quanto à verificação da aderência dos processos e serviços às normas internas e à melhoria do fluxo de informações e documentos, sem prejuízo da verificação de se a situação decorre de insuficiência normativa ou de não observância dos instrumentos já existentes.</w:t>
      </w:r>
    </w:p>
    <w:p>
      <w:pPr>
        <w:keepNext/>
        <w:spacing w:before="240" w:after="80"/>
      </w:pPr>
      <w:r>
        <w:rPr>
          <w:b/>
          <w:sz w:val="24"/>
        </w:rPr>
        <w:t>1. O que o Regimento Interno da CENTRAL estabelece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D9E2F3"/>
          </w:tcPr>
          <w:p>
            <w:r/>
            <w:r>
              <w:rPr>
                <w:b/>
                <w:sz w:val="20"/>
              </w:rPr>
              <w:t>Tema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20"/>
              </w:rPr>
              <w:t>Unidade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20"/>
              </w:rPr>
              <w:t>Artigo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b/>
                <w:sz w:val="20"/>
              </w:rPr>
              <w:t>Atribuição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0"/>
              </w:rPr>
              <w:t>Política de gestão documental (inclui o protocolo)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DIRAF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Art. 26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Elaborar, propor e dirigir as políticas, normas e diretrizes de gestão documental, modernização e organização administrativa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0"/>
              </w:rPr>
              <w:t>Planejamento e supervisão do protocolo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SUPADM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Art. 29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Planejar e supervisionar os serviços de protocolo e os processos de racionalização de rotinas e procedimentos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0"/>
              </w:rPr>
              <w:t>Gestão do protocolo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GERADM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Art. 31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Gerenciar o protocolo da CENTRAL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0"/>
              </w:rPr>
              <w:t>Gestão do SEI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GERADM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Art. 31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Gerenciar os sistemas SIGA-RJ e SEI-RJ no âmbito da CENTRAL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20"/>
              </w:rPr>
              <w:t>Criação, modificação e extinção de órgãos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DIREXE / CONADM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Arts. 14 e 4º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A DIREXE autoriza a criação, modificação e extinção de órgãos e submete a estrutura ao CONADM, que aprova o Regimento Interno</w:t>
            </w:r>
          </w:p>
        </w:tc>
      </w:tr>
    </w:tbl>
    <w:p>
      <w:pPr>
        <w:spacing w:after="40"/>
      </w:pPr>
    </w:p>
    <w:p>
      <w:r>
        <w:rPr>
          <w:b w:val="0"/>
        </w:rPr>
        <w:t>Fonte: Regimento Interno da CENTRAL, emissão original de 17/06/2024 (SEI 77097301, Processo SEI-100006/000240/2022). Não há atribuição expressa a unidade específica para a triagem prévia à abertura de processos. A definição de unidade responsável e de suas competências é matéria de estrutura e atribuições.</w:t>
      </w:r>
    </w:p>
    <w:p>
      <w:pPr>
        <w:keepNext/>
        <w:spacing w:before="240" w:after="80"/>
      </w:pPr>
      <w:r>
        <w:rPr>
          <w:b/>
          <w:sz w:val="24"/>
        </w:rPr>
        <w:t>2. Manifestações já constantes dos autos</w:t>
      </w:r>
    </w:p>
    <w:p>
      <w:pPr>
        <w:pStyle w:val="ListBullet"/>
        <w:spacing w:after="60"/>
      </w:pPr>
      <w:r>
        <w:rPr>
          <w:b/>
        </w:rPr>
        <w:t>Auditoria Interna (SEI 140109406) – aponta</w:t>
      </w:r>
      <w:r>
        <w:t xml:space="preserve"> os instrumentos já existentes (Processo SEI-100006/001550/2020; Portaria Conjunta APERJ/CENTRAL nº 31/2022; Portaria CENTRAL SEI nº 265/2021; Manual de Gestão de Documentos; Manual de Gestão de Protocolo – Padronização; Plano de Classificação; Tabela de Temporalidade; designação de pontos focais do SEI, Processo SEI-100006/000768/2025; Procedimentos Padrão de cadastramento de usuários e de elaboração de instrumentos normativos) e pede que se verifique se a dificuldade decorre de insuficiência normativa ou de não observância das normas e das ferramentas de vinculação do SEI. Recomenda que nenhum dos modelos de referência (UNIRIO, TCM-SP, MPRS, TCU) seja adotado automaticamente.</w:t>
      </w:r>
    </w:p>
    <w:p>
      <w:pPr>
        <w:pStyle w:val="ListBullet"/>
        <w:spacing w:after="60"/>
      </w:pPr>
      <w:r>
        <w:rPr>
          <w:b/>
        </w:rPr>
        <w:t>Pontos Focais do SEI (SEI 140422979) – informam</w:t>
      </w:r>
      <w:r>
        <w:t xml:space="preserve"> que a proposta envolve parametrização do SEI (triagem, perfis e permissões, pesquisa e vinculação de processos, padronização de assuntos e tipos processuais), que podem avaliar limitações e orientações de uso, e que é fundamental o preenchimento adequado de todos os campos na abertura do processo. Destacam que a definição da unidade responsável e de suas competências cabe às instâncias competentes.</w:t>
      </w:r>
    </w:p>
    <w:p>
      <w:pPr>
        <w:keepNext/>
        <w:spacing w:before="240" w:after="80"/>
      </w:pPr>
      <w:r>
        <w:rPr>
          <w:b/>
          <w:sz w:val="24"/>
        </w:rPr>
        <w:t>3. Pontos ainda sem resposta nos autos</w:t>
      </w:r>
    </w:p>
    <w:p>
      <w:pPr>
        <w:pStyle w:val="ListBullet"/>
        <w:spacing w:after="60"/>
      </w:pPr>
      <w:r>
        <w:rPr>
          <w:b/>
        </w:rPr>
        <w:t>DIREO:</w:t>
      </w:r>
      <w:r>
        <w:t xml:space="preserve"> não consta manifestação sobre se a diretoria conhece e aplica os instrumentos em vigor, nem sobre como gerencia hoje os processos que a ela chegam.</w:t>
      </w:r>
    </w:p>
    <w:p>
      <w:pPr>
        <w:pStyle w:val="ListBullet"/>
        <w:spacing w:after="60"/>
      </w:pPr>
      <w:r>
        <w:rPr>
          <w:b/>
        </w:rPr>
        <w:t>DIRAF, SUPADM e GERADM:</w:t>
      </w:r>
      <w:r>
        <w:t xml:space="preserve"> unidades que, pelo Regimento, gerenciam o protocolo e o SEI, ainda não foram ouvidas, e não há modelo de fluxo proposto por elas.</w:t>
      </w:r>
    </w:p>
    <w:p>
      <w:pPr>
        <w:pStyle w:val="ListBullet"/>
        <w:spacing w:after="60"/>
      </w:pPr>
      <w:r>
        <w:rPr>
          <w:b/>
        </w:rPr>
        <w:t>Comissão de Gestão de Documentos:</w:t>
      </w:r>
      <w:r>
        <w:t xml:space="preserve"> a Auditoria sugeriu sua participação, mas ela não consta entre os destinatários dos encaminhamentos anteriores.</w:t>
      </w:r>
    </w:p>
    <w:p>
      <w:pPr>
        <w:pStyle w:val="ListBullet"/>
        <w:spacing w:after="60"/>
      </w:pPr>
      <w:r>
        <w:rPr>
          <w:b/>
        </w:rPr>
        <w:t>SUPTIN:</w:t>
      </w:r>
      <w:r>
        <w:t xml:space="preserve"> encaminhamento pendente (DIRAF, SEI 140181700), sem manifestação, à espera de um modelo a avaliar.</w:t>
      </w:r>
    </w:p>
    <w:p>
      <w:pPr>
        <w:pStyle w:val="ListBullet"/>
        <w:spacing w:after="60"/>
      </w:pPr>
      <w:r>
        <w:rPr>
          <w:b/>
        </w:rPr>
        <w:t>Instrumentos em vigor:</w:t>
      </w:r>
      <w:r>
        <w:t xml:space="preserve"> os citados pela Auditoria não constam como documentos dos autos.</w:t>
      </w:r>
    </w:p>
    <w:p>
      <w:pPr>
        <w:keepNext/>
        <w:spacing w:before="240" w:after="80"/>
      </w:pPr>
      <w:r>
        <w:rPr>
          <w:b/>
          <w:sz w:val="24"/>
        </w:rPr>
        <w:t>4. Encaminhamentos propostos</w:t>
      </w:r>
    </w:p>
    <w:p>
      <w:pPr>
        <w:spacing w:after="60"/>
      </w:pPr>
      <w:r>
        <w:rPr>
          <w:b w:val="0"/>
        </w:rPr>
        <w:t>Sugere-se que a Chefia de Gabinete encaminhe o processo em três etapas, nesta ordem, pelos motivos abaixo:</w:t>
      </w:r>
    </w:p>
    <w:p>
      <w:pPr>
        <w:pStyle w:val="ListBullet"/>
        <w:spacing w:after="60"/>
      </w:pPr>
      <w:r>
        <w:rPr>
          <w:b/>
        </w:rPr>
        <w:t>Etapa 1 – Levantamento (itens 1 a 4):</w:t>
      </w:r>
      <w:r>
        <w:t xml:space="preserve"> a Auditoria pediu que se verifique se o problema é de norma ou de aplicação (SEI 140109406). Para isso é preciso ouvir quem relatou o problema (DIREO) e as unidades que, pelo Regimento, gerenciam o protocolo e o SEI (DIRAF, SUPADM e GERADM – Arts. 26, 29 e 31), além da Comissão de Gestão de Documentos, sugerida pela Auditoria e ainda não ouvida.</w:t>
      </w:r>
    </w:p>
    <w:p>
      <w:pPr>
        <w:pStyle w:val="ListBullet"/>
        <w:spacing w:after="60"/>
      </w:pPr>
      <w:r>
        <w:rPr>
          <w:b/>
        </w:rPr>
        <w:t>Etapa 2 – Análise técnica no SEI (item 5):</w:t>
      </w:r>
      <w:r>
        <w:t xml:space="preserve"> a SUPTIN e os Pontos Focais só podem analisar o que for proposto. Hoje não há modelo proposto pela SUPADM ou pela GERADM, e os Pontos Focais já indicaram que avaliarão conforme a política adotada (SEI 140422979).</w:t>
      </w:r>
    </w:p>
    <w:p>
      <w:pPr>
        <w:pStyle w:val="ListBullet"/>
        <w:spacing w:after="60"/>
      </w:pPr>
      <w:r>
        <w:rPr>
          <w:b/>
        </w:rPr>
        <w:t>Etapa 3 – Consolidação e decisão (itens 6 e 7):</w:t>
      </w:r>
      <w:r>
        <w:t xml:space="preserve"> a ASSGER reúne as manifestações (Art. 18), e a DIREXE decide sobre eventual mudança de estrutura ou de competências (Arts. 14 e 4º).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D9E2F3"/>
          </w:tcPr>
          <w:p>
            <w:r/>
            <w:r>
              <w:rPr>
                <w:b/>
                <w:sz w:val="20"/>
              </w:rPr>
              <w:t>Nº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sz w:val="20"/>
              </w:rPr>
              <w:t>Destinatário</w:t>
            </w:r>
          </w:p>
        </w:tc>
        <w:tc>
          <w:tcPr>
            <w:tcW w:type="dxa" w:w="6406"/>
            <w:shd w:val="clear" w:color="auto" w:fill="D9E2F3"/>
          </w:tcPr>
          <w:p>
            <w:r/>
            <w:r>
              <w:rPr>
                <w:b/>
                <w:sz w:val="20"/>
              </w:rPr>
              <w:t>O que se pede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DIREO</w:t>
            </w:r>
          </w:p>
        </w:tc>
        <w:tc>
          <w:tcPr>
            <w:tcW w:type="dxa" w:w="6406"/>
          </w:tcPr>
          <w:p>
            <w:r/>
            <w:r>
              <w:rPr>
                <w:sz w:val="20"/>
              </w:rPr>
              <w:t>(a) Informar se conhece e adota os instrumentos em vigor citados pela Auditoria; (b) descrever como a diretoria gerencia os processos que nela ingressam (recebimento, distribuição, consulta a processos existentes, uso da vinculação no SEI, preenchimento de campos); (c) indicar os casos de duplicidade identificados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DIRAF, com vistas à SUPADM e à GERADM</w:t>
            </w:r>
          </w:p>
        </w:tc>
        <w:tc>
          <w:tcPr>
            <w:tcW w:type="dxa" w:w="6406"/>
          </w:tcPr>
          <w:p>
            <w:r/>
            <w:r>
              <w:rPr>
                <w:sz w:val="20"/>
              </w:rPr>
              <w:t>(a) Informar como o protocolo e o SEI são geridos hoje e se o Manual de Gestão de Protocolo prevê quem abre e autua processos; (b) informar se a duplicidade de processos é recorrente; (c) manifestar-se sobre a proposta da DIREO e, se entenderem cabível, apresentar proposta de fluxo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Comissão de Gestão de Documentos</w:t>
            </w:r>
          </w:p>
        </w:tc>
        <w:tc>
          <w:tcPr>
            <w:tcW w:type="dxa" w:w="6406"/>
          </w:tcPr>
          <w:p>
            <w:r/>
            <w:r>
              <w:rPr>
                <w:sz w:val="20"/>
              </w:rPr>
              <w:t>Avaliar a proposta e os instrumentos existentes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GERADM (via DIRAF)</w:t>
            </w:r>
          </w:p>
        </w:tc>
        <w:tc>
          <w:tcPr>
            <w:tcW w:type="dxa" w:w="6406"/>
          </w:tcPr>
          <w:p>
            <w:r/>
            <w:r>
              <w:rPr>
                <w:sz w:val="20"/>
              </w:rPr>
              <w:t>Juntar aos autos a Portaria CENTRAL SEI nº 265/2021, a Portaria Conjunta APERJ/CENTRAL nº 31/2022, o Manual de Gestão de Protocolo e o Manual de Gestão de Documentos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SUPTIN e Pontos Focais do SEI</w:t>
            </w:r>
          </w:p>
        </w:tc>
        <w:tc>
          <w:tcPr>
            <w:tcW w:type="dxa" w:w="6406"/>
          </w:tcPr>
          <w:p>
            <w:r/>
            <w:r>
              <w:rPr>
                <w:sz w:val="20"/>
              </w:rPr>
              <w:t>Manter a análise sobrestada até haver modelo proposto (item 2); então indicar a viabilidade técnica no SEI, as limitações, as necessidades de parametrização e as orientações de uso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ASSGER</w:t>
            </w:r>
          </w:p>
        </w:tc>
        <w:tc>
          <w:tcPr>
            <w:tcW w:type="dxa" w:w="6406"/>
          </w:tcPr>
          <w:p>
            <w:r/>
            <w:r>
              <w:rPr>
                <w:sz w:val="20"/>
              </w:rPr>
              <w:t>Consolidar as manifestações e recomendar o modelo, com os riscos e controles associados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DIREXE (após a consolidação)</w:t>
            </w:r>
          </w:p>
        </w:tc>
        <w:tc>
          <w:tcPr>
            <w:tcW w:type="dxa" w:w="6406"/>
          </w:tcPr>
          <w:p>
            <w:r/>
            <w:r>
              <w:rPr>
                <w:sz w:val="20"/>
              </w:rPr>
              <w:t>Decidir sobre eventual definição de unidade e competências, se a solução exigir alteração de estrutura</w:t>
            </w:r>
          </w:p>
        </w:tc>
      </w:tr>
    </w:tbl>
    <w:p>
      <w:pPr>
        <w:spacing w:after="40"/>
      </w:pPr>
    </w:p>
    <w:p>
      <w:r>
        <w:rPr>
          <w:b w:val="0"/>
        </w:rPr>
        <w:t>Prazo sugerido para as respostas dos itens 1 a 4: [__ dias úteis].</w:t>
      </w:r>
    </w:p>
    <w:p>
      <w:pPr>
        <w:keepNext/>
        <w:spacing w:before="240" w:after="80"/>
      </w:pPr>
      <w:r>
        <w:rPr>
          <w:b/>
          <w:sz w:val="24"/>
        </w:rPr>
        <w:t>5. Pontos de atenção de governança e controles internos</w:t>
      </w:r>
    </w:p>
    <w:p>
      <w:pPr>
        <w:pStyle w:val="ListBullet"/>
        <w:spacing w:after="60"/>
      </w:pPr>
      <w:r>
        <w:rPr>
          <w:b/>
        </w:rPr>
        <w:t>Segregação de funções:</w:t>
      </w:r>
      <w:r>
        <w:t xml:space="preserve"> se houver unidade centralizadora, verificar a segregação de funções e evitar concentração de etapas incompatíveis.</w:t>
      </w:r>
    </w:p>
    <w:p>
      <w:pPr>
        <w:pStyle w:val="ListBullet"/>
        <w:spacing w:after="60"/>
      </w:pPr>
      <w:r>
        <w:rPr>
          <w:b/>
        </w:rPr>
        <w:t>Processos sigilosos:</w:t>
      </w:r>
      <w:r>
        <w:t xml:space="preserve"> processos disciplinares, sindicâncias, denúncias e dados pessoais, que a própria DIREO previu como exceções à centralização.</w:t>
      </w:r>
    </w:p>
    <w:p>
      <w:pPr>
        <w:pStyle w:val="ListBullet"/>
        <w:spacing w:after="60"/>
      </w:pPr>
      <w:r>
        <w:rPr>
          <w:b/>
        </w:rPr>
        <w:t>Risco operacional:</w:t>
      </w:r>
      <w:r>
        <w:t xml:space="preserve"> a centralização não deve gerar demora nem ponto único de falha na abertura de processos.</w:t>
      </w:r>
    </w:p>
    <w:p>
      <w:pPr>
        <w:pStyle w:val="ListBullet"/>
        <w:spacing w:after="60"/>
      </w:pPr>
      <w:r>
        <w:rPr>
          <w:b/>
        </w:rPr>
        <w:t>Qualidade do registro:</w:t>
      </w:r>
      <w:r>
        <w:t xml:space="preserve"> preenchimento obrigatório e adequado dos campos, como destacado pelos Pontos Focais, independentemente do modelo.</w:t>
      </w:r>
    </w:p>
    <w:p>
      <w:pPr>
        <w:keepNext/>
        <w:spacing w:before="240" w:after="80"/>
      </w:pPr>
      <w:r>
        <w:rPr>
          <w:b/>
          <w:sz w:val="24"/>
        </w:rPr>
        <w:t>Documentos de referência anexados à CI nº 77 (modelos de outros órgãos)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87"/>
            <w:shd w:val="clear" w:color="auto" w:fill="D9E2F3"/>
          </w:tcPr>
          <w:p>
            <w:r/>
            <w:r>
              <w:rPr>
                <w:b/>
                <w:sz w:val="20"/>
              </w:rPr>
              <w:t>Nº SEI</w:t>
            </w:r>
          </w:p>
        </w:tc>
        <w:tc>
          <w:tcPr>
            <w:tcW w:type="dxa" w:w="7767"/>
            <w:shd w:val="clear" w:color="auto" w:fill="D9E2F3"/>
          </w:tcPr>
          <w:p>
            <w:r/>
            <w:r>
              <w:rPr>
                <w:b/>
                <w:sz w:val="20"/>
              </w:rPr>
              <w:t>Documento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139791196</w:t>
            </w:r>
          </w:p>
        </w:tc>
        <w:tc>
          <w:tcPr>
            <w:tcW w:type="dxa" w:w="7767"/>
          </w:tcPr>
          <w:p>
            <w:r/>
            <w:r>
              <w:rPr>
                <w:sz w:val="20"/>
              </w:rPr>
              <w:t>Manual de Procedimentos para Formação de Processos – UNIRIO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139792172</w:t>
            </w:r>
          </w:p>
        </w:tc>
        <w:tc>
          <w:tcPr>
            <w:tcW w:type="dxa" w:w="7767"/>
          </w:tcPr>
          <w:p>
            <w:r/>
            <w:r>
              <w:rPr>
                <w:sz w:val="20"/>
              </w:rPr>
              <w:t>Relatório Técnico 1 – SEI na UNIRIO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139791918</w:t>
            </w:r>
          </w:p>
        </w:tc>
        <w:tc>
          <w:tcPr>
            <w:tcW w:type="dxa" w:w="7767"/>
          </w:tcPr>
          <w:p>
            <w:r/>
            <w:r>
              <w:rPr>
                <w:sz w:val="20"/>
              </w:rPr>
              <w:t>Relatório Técnico 2 – SEI na UNIRIO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139801942</w:t>
            </w:r>
          </w:p>
        </w:tc>
        <w:tc>
          <w:tcPr>
            <w:tcW w:type="dxa" w:w="7767"/>
          </w:tcPr>
          <w:p>
            <w:r/>
            <w:r>
              <w:rPr>
                <w:sz w:val="20"/>
              </w:rPr>
              <w:t>Resolução nº 16/2018 – TCM-SP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139803039</w:t>
            </w:r>
          </w:p>
        </w:tc>
        <w:tc>
          <w:tcPr>
            <w:tcW w:type="dxa" w:w="7767"/>
          </w:tcPr>
          <w:p>
            <w:r/>
            <w:r>
              <w:rPr>
                <w:sz w:val="20"/>
              </w:rPr>
              <w:t>Portaria SG/GAB nº 06/2018 – TCM-SP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139803116</w:t>
            </w:r>
          </w:p>
        </w:tc>
        <w:tc>
          <w:tcPr>
            <w:tcW w:type="dxa" w:w="7767"/>
          </w:tcPr>
          <w:p>
            <w:r/>
            <w:r>
              <w:rPr>
                <w:sz w:val="20"/>
              </w:rPr>
              <w:t>Portaria SG/GAB nº 04/2018 – TCM-SP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139803195</w:t>
            </w:r>
          </w:p>
        </w:tc>
        <w:tc>
          <w:tcPr>
            <w:tcW w:type="dxa" w:w="7767"/>
          </w:tcPr>
          <w:p>
            <w:r/>
            <w:r>
              <w:rPr>
                <w:sz w:val="20"/>
              </w:rPr>
              <w:t>Ordem de Serviço nº 04/2026-PGJ – MPRS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139804004</w:t>
            </w:r>
          </w:p>
        </w:tc>
        <w:tc>
          <w:tcPr>
            <w:tcW w:type="dxa" w:w="7767"/>
          </w:tcPr>
          <w:p>
            <w:r/>
            <w:r>
              <w:rPr>
                <w:sz w:val="20"/>
              </w:rPr>
              <w:t>Portaria-SEPROC nº 1/2021 – TCU</w:t>
            </w:r>
          </w:p>
        </w:tc>
      </w:tr>
    </w:tbl>
    <w:p>
      <w:pPr>
        <w:spacing w:after="40"/>
      </w:pPr>
    </w:p>
    <w:p>
      <w:r>
        <w:rPr>
          <w:b w:val="0"/>
        </w:rPr>
      </w:r>
    </w:p>
    <w:p>
      <w:pPr>
        <w:spacing w:after="280"/>
      </w:pPr>
      <w:r>
        <w:rPr>
          <w:b w:val="0"/>
        </w:rPr>
        <w:t>Rio de Janeiro, na data da assinatura.</w:t>
      </w:r>
    </w:p>
    <w:p>
      <w:pPr>
        <w:spacing w:after="0"/>
      </w:pPr>
      <w:r>
        <w:rPr>
          <w:b w:val="0"/>
        </w:rPr>
        <w:t>[Nome e cargo]</w:t>
      </w:r>
    </w:p>
    <w:p>
      <w:r>
        <w:rPr>
          <w:b w:val="0"/>
        </w:rPr>
        <w:t>Assessoria de Governança, Riscos e Compliance – ASSGER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