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das manifestações e índice de documentos</w:t>
      </w:r>
    </w:p>
    <w:p>
      <w:r>
        <w:rPr>
          <w:b/>
        </w:rPr>
        <w:t>Processo SEI-100006/001034/2026</w:t>
      </w:r>
    </w:p>
    <w:p>
      <w:r>
        <w:t>Assunto: proposta da DIREO de aprimoramento do fluxo de inicialização de novos processos administrativos no âmbito da CENTRAL (CI CENTRAL/DIREO nº 77).</w:t>
      </w:r>
    </w:p>
    <w:p>
      <w:pPr>
        <w:pStyle w:val="Heading1"/>
      </w:pPr>
      <w:r>
        <w:t>1. Resumo das manifestações por área</w:t>
      </w:r>
    </w:p>
    <w:p>
      <w:pPr>
        <w:pStyle w:val="Heading2"/>
      </w:pPr>
      <w:r>
        <w:t>DIREO – Diretoria de Engenharia e Operação (CI nº 77, SEI 139773496, 24/08/2026)</w:t>
      </w:r>
    </w:p>
    <w:p>
      <w:pPr>
        <w:pStyle w:val="ListBullet"/>
      </w:pPr>
      <w:r>
        <w:t>Propõe avaliar a adoção de um fluxo de triagem prévia à abertura de novos processos, por uma unidade centralizadora a ser definida.</w:t>
      </w:r>
    </w:p>
    <w:p>
      <w:pPr>
        <w:pStyle w:val="ListBullet"/>
      </w:pPr>
      <w:r>
        <w:t>Problema: qualquer empregado pode abrir processos no SEI, o que gera vários processos sobre o mesmo assunto, com fragmentação de documentos, manifestações e decisões. Isso afeta rastreabilidade, consistência da informação, controles internos e a resposta a órgãos de controle.</w:t>
      </w:r>
    </w:p>
    <w:p>
      <w:pPr>
        <w:pStyle w:val="ListBullet"/>
      </w:pPr>
      <w:r>
        <w:t>Caso mais expressivo: processos do sistema ferroviário (ex-concessão SuperVia e novo Contrato de Permissão com a TRENS/RJ). Também ocorre em Bondes, Teleférico do Alemão e bens patrimoniais.</w:t>
      </w:r>
    </w:p>
    <w:p>
      <w:pPr>
        <w:pStyle w:val="ListBullet"/>
      </w:pPr>
      <w:r>
        <w:t>A unidade centralizadora receberia as solicitações, verificaria processo já existente, orientaria o uso dele ou autuaria o novo processo e vincularia processos relacionados. A iniciativa da demanda continua com as unidades.</w:t>
      </w:r>
    </w:p>
    <w:p>
      <w:pPr>
        <w:pStyle w:val="ListBullet"/>
      </w:pPr>
      <w:r>
        <w:t>Cita como precedentes UNIRIO, TCM-SP, MPRS e TCU. Prevê exceções à centralização: processos disciplinares, sindicâncias, denúncias, dados pessoais e sigilosos. Tem caráter propositivo.</w:t>
      </w:r>
    </w:p>
    <w:p>
      <w:pPr>
        <w:pStyle w:val="Heading2"/>
      </w:pPr>
      <w:r>
        <w:t>Chefia de Gabinete – CHEGAB (Despacho SEI 139818224, 26/08/2026)</w:t>
      </w:r>
    </w:p>
    <w:p>
      <w:pPr>
        <w:pStyle w:val="ListBullet"/>
      </w:pPr>
      <w:r>
        <w:t>Encaminha o processo à PRESI (para ciência), à ASSGER e à Auditoria Interna (AUD) para conhecimento e avaliação da proposta da DIREO.</w:t>
      </w:r>
    </w:p>
    <w:p>
      <w:pPr>
        <w:pStyle w:val="Heading2"/>
      </w:pPr>
      <w:r>
        <w:t>Auditoria Interna – AUD (SEI 140109406, 27/08/2026)</w:t>
      </w:r>
    </w:p>
    <w:p>
      <w:pPr>
        <w:pStyle w:val="ListBullet"/>
      </w:pPr>
      <w:r>
        <w:t>Análise preliminar. Aponta que a CENTRAL já tem instrumentos de gestão documental e de uso do SEI-RJ (Processo SEI-100006/001550/2020, Portaria Conjunta APERJ/CENTRAL nº 31/2022, Portaria CENTRAL SEI nº 265/2021, manuais, plano de classificação, tabela de temporalidade, pontos focais, Regimento Interno).</w:t>
      </w:r>
    </w:p>
    <w:p>
      <w:pPr>
        <w:pStyle w:val="ListBullet"/>
      </w:pPr>
      <w:r>
        <w:t>Sugere verificar se o problema decorre de insuficiência normativa ou de descumprimento das normas e do não uso das ferramentas de vinculação do SEI. Se for o segundo caso, criar uma unidade centralizadora, por si só, pode não resolver.</w:t>
      </w:r>
    </w:p>
    <w:p>
      <w:pPr>
        <w:pStyle w:val="ListBullet"/>
      </w:pPr>
      <w:r>
        <w:t>Os modelos de referência não são uniformes: o TCM-SP é todo eletrônico e o mais próximo do SEI-RJ; o da UNIRIO foi pensado para papel; o do MPRS trata de documentos recebidos de fora, não de processos internos; o do TCU é de secretaria de grande porte; a Portaria nº 04/2018 do TCM-SP é ato pontual de migração. Nenhum deve ser adotado automaticamente.</w:t>
      </w:r>
    </w:p>
    <w:p>
      <w:pPr>
        <w:pStyle w:val="ListBullet"/>
      </w:pPr>
      <w:r>
        <w:t>Sugere enviar os autos à ASSGER, à Comissão de Gestão de Documentos, aos pontos focais do SEI e à área de TI para avaliação conjunta da viabilidade técnica e operacional.</w:t>
      </w:r>
    </w:p>
    <w:p>
      <w:pPr>
        <w:pStyle w:val="Heading2"/>
      </w:pPr>
      <w:r>
        <w:t>Chefia de Gabinete – CHEGAB (Despacho SEI 140164661, 27/08/2026)</w:t>
      </w:r>
    </w:p>
    <w:p>
      <w:pPr>
        <w:pStyle w:val="ListBullet"/>
      </w:pPr>
      <w:r>
        <w:t>Acolhe a manifestação da AUD e encaminha à PRESI (ciência), à ASSGER, aos Pontos Focais do SEI e à DIRAF (com vistas à SUPTIN), para avaliação conjunta da viabilidade técnica e operacional, considerando tanto a necessidade de um novo fluxo quanto a de reforçar as normas e ferramentas já existentes.</w:t>
      </w:r>
    </w:p>
    <w:p>
      <w:pPr>
        <w:pStyle w:val="Heading2"/>
      </w:pPr>
      <w:r>
        <w:t>Diretoria de Administração e Finanças – DIRAF (SEI 140181700, 28/08/2026)</w:t>
      </w:r>
    </w:p>
    <w:p>
      <w:pPr>
        <w:pStyle w:val="ListBullet"/>
      </w:pPr>
      <w:r>
        <w:t>Encaminha à SUPTIN, para ciência e atendimento, a manifestação da AUD (140109406), a proposta da DIREO (139773496) e a orientação da Chefia de Gabinete (140164661). Não há análise de mérito.</w:t>
      </w:r>
    </w:p>
    <w:p>
      <w:pPr>
        <w:pStyle w:val="Heading2"/>
      </w:pPr>
      <w:r>
        <w:t>Pontos Focais do SEI-RJ (SEI 140422979, 01/09/2026)</w:t>
      </w:r>
    </w:p>
    <w:p>
      <w:pPr>
        <w:pStyle w:val="ListBullet"/>
      </w:pPr>
      <w:r>
        <w:t>Tomam ciência da matéria e entendem que a proposta envolve parametrização do SEI: triagem, perfis e permissões, pesquisa de processos, vinculação e padronização de assuntos e tipos processuais. Podem avaliar a implementação e indicar limitações.</w:t>
      </w:r>
    </w:p>
    <w:p>
      <w:pPr>
        <w:pStyle w:val="ListBullet"/>
      </w:pPr>
      <w:r>
        <w:t>Ressaltam que, além de eventual triagem e centralização da autuação, é fundamental o preenchimento obrigatório e adequado de todos os campos na abertura do processo, evitando registros genéricos ou incompletos.</w:t>
      </w:r>
    </w:p>
    <w:p>
      <w:pPr>
        <w:pStyle w:val="ListBullet"/>
      </w:pPr>
      <w:r>
        <w:t>O objetivo deve ser evitar duplicidade e também garantir que cada processo seja identificado, instruído e organizado desde a origem.</w:t>
      </w:r>
    </w:p>
    <w:p>
      <w:pPr>
        <w:pStyle w:val="ListBullet"/>
      </w:pPr>
      <w:r>
        <w:t>A definição sobre centralizar a autuação e sobre a unidade responsável e suas competências é matéria administrativa e organizacional, para as instâncias competentes. Após a definição do modelo, prestam apoio à operacionalização no SEI.</w:t>
      </w:r>
    </w:p>
    <w:p>
      <w:pPr>
        <w:pStyle w:val="Heading1"/>
      </w:pPr>
      <w:r>
        <w:t>2. Situação atual e pendências</w:t>
      </w:r>
    </w:p>
    <w:p>
      <w:r>
        <w:t>Constam nos documentos analisados as manifestações da DIREO, da Chefia de Gabinete, da Auditoria Interna, da DIRAF (apenas encaminhamento) e dos Pontos Focais do SEI. Não constam manifestações da ASSGER, da SUPTIN nem da Comissão de Gestão de Documentos, e a PRESI recebeu o processo apenas para ciência. Não há decisão sobre a criação do novo fluxo.</w:t>
      </w:r>
    </w:p>
    <w:p>
      <w:pPr>
        <w:pStyle w:val="Heading1"/>
      </w:pPr>
      <w:r>
        <w:t>3. Índice de documentos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60"/>
        <w:gridCol w:w="2760"/>
        <w:gridCol w:w="2760"/>
        <w:gridCol w:w="2760"/>
        <w:gridCol w:w="2760"/>
      </w:tblGrid>
      <w:tr>
        <w:tc>
          <w:tcPr>
            <w:tcW w:type="dxa" w:w="1134"/>
            <w:shd w:val="clear" w:color="auto" w:fill="D9E2F3"/>
          </w:tcPr>
          <w:p>
            <w:r/>
            <w:r>
              <w:rPr>
                <w:b/>
                <w:sz w:val="19"/>
              </w:rPr>
              <w:t>Arquivo</w:t>
            </w:r>
          </w:p>
        </w:tc>
        <w:tc>
          <w:tcPr>
            <w:tcW w:type="dxa" w:w="1361"/>
            <w:shd w:val="clear" w:color="auto" w:fill="D9E2F3"/>
          </w:tcPr>
          <w:p>
            <w:r/>
            <w:r>
              <w:rPr>
                <w:b/>
                <w:sz w:val="19"/>
              </w:rPr>
              <w:t>Nº SEI</w:t>
            </w:r>
          </w:p>
        </w:tc>
        <w:tc>
          <w:tcPr>
            <w:tcW w:type="dxa" w:w="5386"/>
            <w:shd w:val="clear" w:color="auto" w:fill="D9E2F3"/>
          </w:tcPr>
          <w:p>
            <w:r/>
            <w:r>
              <w:rPr>
                <w:b/>
                <w:sz w:val="19"/>
              </w:rPr>
              <w:t>Documento</w:t>
            </w:r>
          </w:p>
        </w:tc>
        <w:tc>
          <w:tcPr>
            <w:tcW w:type="dxa" w:w="3969"/>
            <w:shd w:val="clear" w:color="auto" w:fill="D9E2F3"/>
          </w:tcPr>
          <w:p>
            <w:r/>
            <w:r>
              <w:rPr>
                <w:b/>
                <w:sz w:val="19"/>
              </w:rPr>
              <w:t>Área que inseriu</w:t>
            </w:r>
          </w:p>
        </w:tc>
        <w:tc>
          <w:tcPr>
            <w:tcW w:type="dxa" w:w="1701"/>
            <w:shd w:val="clear" w:color="auto" w:fill="D9E2F3"/>
          </w:tcPr>
          <w:p>
            <w:r/>
            <w:r>
              <w:rPr>
                <w:b/>
                <w:sz w:val="19"/>
              </w:rPr>
              <w:t>Data da assinatura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01.pdf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139773496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Correspondência Interna – CI CENTRAL/DIREO nº 77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DIREO (Marcio Rodrigues, Adjunto)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24/08/2026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02.pdf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139791196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Manual de Procedimentos para Formação de Processos – UNIRIO (IN AC nº 02/2021)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Anexo da CI nº 77 (DIREO)*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03.pdf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139792172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Relatório Técnico 1 – SEI na UNIRIO (IN AC nº 05/2021)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Anexo da CI nº 77 (DIREO)*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04.pdf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139791918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Relatório Técnico 2 – SEI na UNIRIO (IN AC nº 10/2023)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Anexo da CI nº 77 (DIREO)*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05.pdf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139801942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Resolução nº 16/2018 – TCM-SP (processo eletrônico e-TCM)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Anexo da CI nº 77 (DIREO)*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06.pdf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139803039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Portaria SG/GAB nº 06/2018 – TCM-SP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Anexo da CI nº 77 (DIREO)*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07.pdf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139803116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Portaria SG/GAB nº 04/2018 – TCM-SP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Anexo da CI nº 77 (DIREO)*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08.pdf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139803195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Ordem de Serviço nº 04/2026-PGJ – MPRS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Anexo da CI nº 77 (DIREO)*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09.pdf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139804004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Portaria-SEPROC nº 1/2021 – TCU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Anexo da CI nº 77 (DIREO)*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10.pdf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139818224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Despacho de Encaminhamento de Processo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CHEGAB – Chefia de Gabinete (Savio Araujo Ribeiro)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26/08/2026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11.pdf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140109406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Manifestação da Auditoria Interna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AUD – Auditoria Interna (Rosania Maria Machado Silva)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27/08/2026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12.pdf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140164661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Despacho de Encaminhamento de Processo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CHEGAB – Chefia de Gabinete (Savio Araujo Ribeiro)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27/08/2026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13.pdf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140181700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Despacho de Encaminhamento de Processo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DIRAF – Diretoria de Administração e Finanças (Heitor Luiz Maciel Pereira)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28/08/2026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14.pdf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140422979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Despacho de Encaminhamento de Processo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Pontos Focais do SEI-RJ (Angela Crespo e Patricia Matos da Silva, Assessora-Chefe)**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01/09/2026</w:t>
            </w:r>
          </w:p>
        </w:tc>
      </w:tr>
    </w:tbl>
    <w:p/>
    <w:p>
      <w:r>
        <w:rPr>
          <w:b/>
        </w:rPr>
        <w:t xml:space="preserve">* </w:t>
      </w:r>
      <w:r>
        <w:t>Os PDFs 02 a 09 não trazem rodapé com autoria. Os números SEI e a autoria constam da lista de anexos da CI nº 77 (SEI 139773496, item VII), por isso a área foi indicada como DIREO com base nessa lista. Convém conferir no SEI o usuário e a unidade que efetivamente inseriram cada anexo.</w:t>
      </w:r>
    </w:p>
    <w:p>
      <w:r>
        <w:rPr>
          <w:b/>
        </w:rPr>
        <w:t xml:space="preserve">** </w:t>
      </w:r>
      <w:r>
        <w:t>O despacho identifica as signatárias como "Ponto Focal SEI-RJ" e a chefia como "Assessora-Chefe", sem citar a sigla da unidade. Confirmar no SEI a unidade de origem.</w:t>
      </w:r>
    </w:p>
    <w:sectPr w:rsidR="00FC693F" w:rsidRPr="0006063C" w:rsidSect="00034616">
      <w:pgSz w:w="15840" w:h="12240" w:orient="landscape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