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0"/>
          <w:szCs w:val="20"/>
        </w:rPr>
        <w:t xml:space="preserve">NOTA TÉCNICA</w:t>
      </w:r>
    </w:p>
    <w:p>
      <w:pPr>
        <w:spacing w:after="60"/>
      </w:pPr>
      <w:r>
        <w:rPr>
          <w:rFonts w:ascii="Arial" w:cs="Arial" w:eastAsia="Arial" w:hAnsi="Arial"/>
          <w:b/>
          <w:bCs/>
          <w:color w:val="1F3864"/>
          <w:sz w:val="32"/>
          <w:szCs w:val="32"/>
        </w:rPr>
        <w:t xml:space="preserve">Posicionamento da ASSGER sobre a proposta de revisão do POP de Contratação Direta ou por Inexigibilidade</w:t>
      </w:r>
    </w:p>
    <w:p>
      <w:pPr>
        <w:spacing w:after="40" w:before="160"/>
      </w:pPr>
      <w:r>
        <w:rPr>
          <w:rFonts w:ascii="Arial" w:cs="Arial" w:eastAsia="Arial" w:hAnsi="Arial"/>
          <w:b/>
          <w:bCs/>
          <w:sz w:val="20"/>
          <w:szCs w:val="20"/>
        </w:rPr>
        <w:t xml:space="preserve">Referências: </w:t>
      </w:r>
      <w:r>
        <w:rPr>
          <w:rFonts w:ascii="Arial" w:cs="Arial" w:eastAsia="Arial" w:hAnsi="Arial"/>
          <w:sz w:val="20"/>
          <w:szCs w:val="20"/>
        </w:rPr>
        <w:t xml:space="preserve">Proposta da SUPADM (SEI 129659709); POP vigente, versão 2.0 (SEI 57011112, processo SEI-100006/000538/2022).</w:t>
      </w:r>
    </w:p>
    <w:p>
      <w:pPr>
        <w:spacing w:after="40" w:before="0"/>
      </w:pPr>
      <w:r>
        <w:rPr>
          <w:rFonts w:ascii="Arial" w:cs="Arial" w:eastAsia="Arial" w:hAnsi="Arial"/>
          <w:b/>
          <w:bCs/>
          <w:sz w:val="20"/>
          <w:szCs w:val="20"/>
        </w:rPr>
        <w:t xml:space="preserve">Normas vigentes consideradas: </w:t>
      </w:r>
      <w:r>
        <w:rPr>
          <w:rFonts w:ascii="Arial" w:cs="Arial" w:eastAsia="Arial" w:hAnsi="Arial"/>
          <w:sz w:val="20"/>
          <w:szCs w:val="20"/>
        </w:rPr>
        <w:t xml:space="preserve">Lei 13.303/2016; Decreto Estadual 46.188/2017; Estatuto Social; Regimento Interno; RILC versão 2.0 (maio/2023); Lei Estadual 7.753/2017; Código de Conduta Ética e de Integridade.</w:t>
      </w:r>
    </w:p>
    <w:p>
      <w:pPr>
        <w:pStyle w:val="Heading1"/>
        <w:spacing w:after="120" w:before="280"/>
      </w:pPr>
      <w:r>
        <w:rPr>
          <w:rFonts w:ascii="Arial" w:cs="Arial" w:eastAsia="Arial" w:hAnsi="Arial"/>
          <w:b/>
          <w:bCs/>
          <w:color w:val="1F3864"/>
          <w:sz w:val="26"/>
          <w:szCs w:val="26"/>
        </w:rPr>
        <w:t xml:space="preserve">1. INTRODUÇÃO</w:t>
      </w:r>
    </w:p>
    <w:p>
      <w:pPr>
        <w:spacing w:after="100" w:before="0"/>
      </w:pPr>
      <w:r>
        <w:rPr>
          <w:rFonts w:ascii="Arial" w:cs="Arial" w:eastAsia="Arial" w:hAnsi="Arial"/>
          <w:sz w:val="20"/>
          <w:szCs w:val="20"/>
        </w:rPr>
        <w:t xml:space="preserve">Esta Nota Técnica apresenta o posicionamento da ASSGER sobre a proposta da SUPADM de revisão do POP de Contratação Direta ou por Inexigibilidade. O que não está em conformidade com as normas vigentes e o que fazer estão reunidos nas seções 2 e 4. A seção 3 compara o POP vigente com a proposta. A seção 5 registra os pontos que exigirão nova revisão quando o novo RILC for aprovado. A seção 6 traz o posicionamento final.</w:t>
      </w:r>
    </w:p>
    <w:p>
      <w:pPr>
        <w:spacing w:after="100" w:before="0"/>
      </w:pPr>
      <w:r>
        <w:rPr>
          <w:rFonts w:ascii="Arial" w:cs="Arial" w:eastAsia="Arial" w:hAnsi="Arial"/>
          <w:b/>
          <w:bCs/>
          <w:sz w:val="20"/>
          <w:szCs w:val="20"/>
        </w:rPr>
        <w:t xml:space="preserve">Normas consideradas. </w:t>
      </w:r>
      <w:r>
        <w:rPr>
          <w:rFonts w:ascii="Arial" w:cs="Arial" w:eastAsia="Arial" w:hAnsi="Arial"/>
          <w:sz w:val="20"/>
          <w:szCs w:val="20"/>
        </w:rPr>
        <w:t xml:space="preserve">Somente normas vigentes. A Minuta do novo RILC, ainda não aprovada, não gera não conformidade e aparece apenas na seção 5. Em caso de divergência, prevalece a norma de maior hierarquia, segundo o Programa de Conformidade Normativa: Estatuto, Regimento, Políticas, RILC e normas internas, POPs, sempre sob a Lei 13.303/2016 e os decretos.</w:t>
      </w:r>
    </w:p>
    <w:p>
      <w:pPr>
        <w:spacing w:after="100" w:before="0"/>
      </w:pPr>
      <w:r>
        <w:rPr>
          <w:rFonts w:ascii="Arial" w:cs="Arial" w:eastAsia="Arial" w:hAnsi="Arial"/>
          <w:b/>
          <w:bCs/>
          <w:sz w:val="20"/>
          <w:szCs w:val="20"/>
        </w:rPr>
        <w:t xml:space="preserve">Classificação e critério (seção 4). </w:t>
      </w:r>
      <w:r>
        <w:rPr>
          <w:rFonts w:ascii="Arial" w:cs="Arial" w:eastAsia="Arial" w:hAnsi="Arial"/>
          <w:sz w:val="20"/>
          <w:szCs w:val="20"/>
        </w:rPr>
        <w:t xml:space="preserve">Cada achado é testado quanto a Legalidade, Competência, Completude, Atualização, Rastreabilidade e Sobreposição e classificado em Conforme com Ressalva, Não Conforme, Não Conformidade Crítica ou Não Verificável, conforme a Metodologia do Programa (seção 7). Não Conformidade Crítica é a divergência com potencial de gerar nulidade de atos, responsabilização de gestores ou apontamento de órgãos de controle.</w:t>
      </w:r>
    </w:p>
    <w:p>
      <w:pPr>
        <w:spacing w:after="100" w:before="0"/>
      </w:pPr>
      <w:r>
        <w:rPr>
          <w:rFonts w:ascii="Arial" w:cs="Arial" w:eastAsia="Arial" w:hAnsi="Arial"/>
          <w:b/>
          <w:bCs/>
          <w:sz w:val="20"/>
          <w:szCs w:val="20"/>
        </w:rPr>
        <w:t xml:space="preserve">Impacto, probabilidade e criticidade (seção 4). </w:t>
      </w:r>
      <w:r>
        <w:rPr>
          <w:rFonts w:ascii="Arial" w:cs="Arial" w:eastAsia="Arial" w:hAnsi="Arial"/>
          <w:sz w:val="20"/>
          <w:szCs w:val="20"/>
        </w:rPr>
        <w:t xml:space="preserve">Cada achado recebe impacto e probabilidade (Baixo, Médio ou Alto), com justificativa curta. O cruzamento dos dois dá a criticidade: Baixo, Médio, Alto ou Crítico, pela matriz da Metodologia (seção 8). Essa criticidade mede o risco da não conformidade. Não é o grau de risco de integridade do fornecedor na DDI, que a ASSGER não atribui por não dispor de ferramenta e critério.</w:t>
      </w:r>
    </w:p>
    <w:p>
      <w:pPr>
        <w:pStyle w:val="Heading1"/>
        <w:spacing w:after="120" w:before="280"/>
      </w:pPr>
      <w:r>
        <w:rPr>
          <w:rFonts w:ascii="Arial" w:cs="Arial" w:eastAsia="Arial" w:hAnsi="Arial"/>
          <w:b/>
          <w:bCs/>
          <w:color w:val="1F3864"/>
          <w:sz w:val="26"/>
          <w:szCs w:val="26"/>
        </w:rPr>
        <w:t xml:space="preserve">2. O QUE FAZER</w:t>
      </w:r>
    </w:p>
    <w:p>
      <w:pPr>
        <w:spacing w:after="100" w:before="0"/>
      </w:pPr>
      <w:r>
        <w:rPr>
          <w:rFonts w:ascii="Arial" w:cs="Arial" w:eastAsia="Arial" w:hAnsi="Arial"/>
          <w:i/>
          <w:iCs/>
          <w:sz w:val="18"/>
          <w:szCs w:val="18"/>
        </w:rPr>
        <w:t xml:space="preserve">Resumo das ações, agrupadas por assunto. A coluna "Achado" remete ao detalhamento na seção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Assunto</w:t>
            </w:r>
          </w:p>
        </w:tc>
        <w:tc>
          <w:tcPr>
            <w:tcW w:type="dxa" w:w="67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Achado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Restaurar controles que a proposta retira</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Manter a consulta a SIGA, CNEP e CEIS antes da contratação.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Tornar obrigatório o parecer da ASSJUR na inexigibilidade e na dispensa, exceto dispensa em razão do valor.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Restabelecer a verificação das recomendações da ASSJUR antes da DDI, sem "caso aplicável".</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Criar a etapa de autorização e emissão da Nota de Empenho, com responsável, e eliminar a NAD duplicada. Confirmar a Lei 4.320, art. 60.</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passos que faltam</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ratificação do Diretor-Presidente antes da assinatura.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autorização da Diretoria Executiva nos contratos de valor igual ou superior ao da concorrência.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Criar a convocação formal do fornecedor, depois das aprovações internas.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Prever a verificação da garantia de execução, quando exigida.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publicação da íntegra no site e no PNCP, com prazo e responsável (base do PNCP a confirmar).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Atribuir ao gestor do contrato a fiscalização do Programa de Integridade.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Prever a ratificação pelo Diretor-Presidente quando uma recomendação da ASSJUR não for acolhida.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Reforçar conferências</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Conferir sempre a justificativa do preço e a razão da escolha do fornecedor.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Conferir a notória especialização e a veracidade dos documentos na inexigibilidade.</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DDI e grau de risco</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Tornar obrigatória a DDI para todas as contratações até que o RILC seja alterado.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Definir o critério de valor que torna a DDI obrigatória.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Retirar do fluxo as etapas que dependem de grau de risco. Até lá, o Relatório de DDI traz achados e medidas, sem grau.</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Contratar a ferramenta de classificação de risco.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Programa de Integridade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Deixar claro que a avaliação prévia não condiciona a contratação e pedir a declaração do art. 10 a quem já tem programa.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Confirmar que a Portaria CENTRAL 188/2021 segue os 16 parâmetros da Lei 7.753.</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Ajustes de redação</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Corrigir a numeração e as remissões da proposta.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Novo RILC</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Levar à ASSJUR a exigência de Programa de Integridade para assinar (Minuta, art. 252, III).</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Seção 5</w:t>
            </w:r>
          </w:p>
        </w:tc>
      </w:tr>
    </w:tbl>
    <w:p>
      <w:pPr>
        <w:pStyle w:val="Heading1"/>
        <w:spacing w:after="120" w:before="280"/>
      </w:pPr>
      <w:r>
        <w:rPr>
          <w:rFonts w:ascii="Arial" w:cs="Arial" w:eastAsia="Arial" w:hAnsi="Arial"/>
          <w:b/>
          <w:bCs/>
          <w:color w:val="1F3864"/>
          <w:sz w:val="26"/>
          <w:szCs w:val="26"/>
        </w:rPr>
        <w:t xml:space="preserve">3. COMPARAÇÃO ENTRE O POP VIGENTE E A PROPOSTA DA SUPADM</w:t>
      </w:r>
    </w:p>
    <w:p>
      <w:pPr>
        <w:spacing w:after="100" w:before="0"/>
      </w:pPr>
      <w:r>
        <w:rPr>
          <w:rFonts w:ascii="Arial" w:cs="Arial" w:eastAsia="Arial" w:hAnsi="Arial"/>
          <w:sz w:val="20"/>
          <w:szCs w:val="20"/>
        </w:rPr>
        <w:t xml:space="preserve">Objetivo: comparar a redação vigente do POP com a proposta da SUPADM, identificando o que saiu, o que saiu em parte e o que foi incluído. A proposta não traz justificativa para as alterações.</w:t>
      </w:r>
    </w:p>
    <w:p>
      <w:pPr>
        <w:spacing w:after="100" w:before="0"/>
      </w:pPr>
      <w:r>
        <w:rPr>
          <w:rFonts w:ascii="Arial" w:cs="Arial" w:eastAsia="Arial" w:hAnsi="Arial"/>
          <w:sz w:val="20"/>
          <w:szCs w:val="20"/>
        </w:rPr>
        <w:t xml:space="preserve">Critério: uma ação só é listada como "saiu por completo" se não aparece em nenhum ponto da proposta. Se permanece, ainda que em outro item, com outro responsável ou com redação reduzida, consta como "saiu em parte".</w:t>
      </w:r>
    </w:p>
    <w:p>
      <w:pPr>
        <w:spacing w:after="100" w:before="0"/>
      </w:pPr>
      <w:r>
        <w:rPr>
          <w:rFonts w:ascii="Arial" w:cs="Arial" w:eastAsia="Arial" w:hAnsi="Arial"/>
          <w:sz w:val="20"/>
          <w:szCs w:val="20"/>
        </w:rPr>
        <w:t xml:space="preserve">Referências: no POP vigente, os itens de cada etapa são numerados automaticamente (a, b, c...). Na proposta há letras repetidas (o item 1 tem dois "d" e o item 3 repete o "b"); por isso, quando necessário, cita-se "(1º)" ou "(2º)" para indicar a ordem em que a letra aparece.</w:t>
      </w:r>
    </w:p>
    <w:p>
      <w:pPr>
        <w:pStyle w:val="Heading2"/>
        <w:spacing w:after="100" w:before="200"/>
      </w:pPr>
      <w:r>
        <w:rPr>
          <w:rFonts w:ascii="Arial" w:cs="Arial" w:eastAsia="Arial" w:hAnsi="Arial"/>
          <w:b/>
          <w:bCs/>
          <w:color w:val="1F3864"/>
          <w:sz w:val="22"/>
          <w:szCs w:val="22"/>
        </w:rPr>
        <w:t xml:space="preserve">3.1 Ações do POP vigente que saíram por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6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estava</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Situação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Coluna PRAZO (estimado):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Cabeçalho da tabela</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Coluna suprimida. Não há mais prazos.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Caso necessário, encaminhar para a ASSJUR para uma nova análise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item c</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se o contratado não está na lista de empresas vedadas nos sistemas SIGA, CNEP e CEIS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Controles necessários</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 Permanece só o controle de "Certidões inseridas e atualizadas".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CHEGAB: elaborar a minuta de Despacho de autorização da NAD (Anexo II) e encaminhar ao Diretor Presidente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B.10</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PRESI: assinar a minuta de Despacho (Anexo II)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B.10</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PRESI: autorizar a emissão da Nota de Empenho no SIGA e encaminhar à DIRPLA/GERORT (a redação vigente escreve "Nota de Empenho – NAD")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B.10, item b</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 O item 5 da sugestão trata só da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GERORT/DIRPLA: emitir a Nota de Empenho (NE) como etapa própria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B.11</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Sem etapa nem responsável. A NE aparece apenas como dado do termo de contrato (6a) e, de passagem, como "NAD/Empenho" (3e).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Remeter o processo ao setor de Compras para registro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B.11</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Não consta.</w:t>
            </w:r>
          </w:p>
        </w:tc>
      </w:tr>
    </w:tbl>
    <w:p>
      <w:pPr>
        <w:pStyle w:val="Heading2"/>
        <w:spacing w:after="100" w:before="200"/>
      </w:pPr>
      <w:r>
        <w:rPr>
          <w:rFonts w:ascii="Arial" w:cs="Arial" w:eastAsia="Arial" w:hAnsi="Arial"/>
          <w:b/>
          <w:bCs/>
          <w:color w:val="1F3864"/>
          <w:sz w:val="22"/>
          <w:szCs w:val="22"/>
        </w:rPr>
        <w:t xml:space="preserve">3.2 Ações que saíram em parte ou perderam conteúdo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100"/>
        <w:gridCol w:w="3000"/>
        <w:gridCol w:w="31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Etapa</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saiu</w:t>
            </w:r>
          </w:p>
        </w:tc>
        <w:tc>
          <w:tcPr>
            <w:tcW w:type="dxa" w:w="3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Como ficou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Conferência e ajuste das minutas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item 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Conferência das informações inseridas pela área demandante; ajuste do Edital; Minuta-Padrão PGE. "Termo de Conformidade" virou "Declaração de Conformidade".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1a: ajustar a minuta do Instrumento Contratual e da Declaração de Conformidade "de acordo com Parecer e certificar".</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Verificação do atendimento das recomendações da ASSJUR e manifestação de que o processo está instruído de acordo com o RILC</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item b, e B.3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Saiu do tópico 1 (antes da DDI). Perdeu a condição "caso positivo". No tópico 1 restou só o controle "verificar se as exigências da ASSJUR foram atendidas, caso houver".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3c (após a DDI), uma única vez: "caso aplicável [...] apresentando justificativa".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Realizar a Avaliação de Conformidade/DDI, ou encaminhá-la à ASSGER, obrigatoriamente nos casos definidos</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item d</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"Realizar"; "Avaliação de Conformidade"; "obrigatoriamente"; os critérios de alto grau de risco de integridade (ato da Diretoria ou do Conselho) e de valor acima da Política de Alçada.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1d (2º): "encaminhar [...] solicitando a realização do DDI, de acordo com o valor", sem definir o valor. O POP vigente remetia o valor à Política de Alçada, ainda "em elaboração"; a proposta não remete a nenhum documento. A lista de exceções (abaixo de R$ 20.000,00, aditivo, ARP, órgãos públicos) foi mantida.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Realizar a DDI</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"Avaliação de Conformidade".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2a: "realizar o DDI".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Relatório da DDI</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Exigência de o Relatório trazer "medidas a serem adotadas". O retorno dos autos deixou de ser à GERLIC.</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2c: elaborar o Relatório de DDI (e o de Avaliação do Programa de Integridade, se aplicável) e restituir os autos à SUPADM.</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as recomendações do Relatório de DDI</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Condição "caso aplicável".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3a: verificar o grau de risco e as recomendações, sem condição.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Preparar o Contrato ou Instrumento Contratual</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B.3</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"Preparar"; "ou instrumento equivalente"; a condição alternativa ("atender às recomendações ou não haver impedimentos") virou cumulativa.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6d: "e não havendo impedimentos, o instrumento contratual é disponibilizado para assinatura". 6a: complementar os dados do "termo de contrato".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Manifestação expressa do titular da SUPADM</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B.4, item c</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Referência ao RILC e o advérbio "devidamente".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6e: processo "instruído e em condições de ser enviado para assinatura dos Diretores", com as recomendações da ASSJUR cumpridas.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PRESI: assinar a Portaria e determinar a publicação no DOERJ</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Aviso de Licitação (caso aplicável).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 (PRESI, a): "determinar a publicação no DOERJ".</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PRESI: encaminhar o processo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B.6</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GERADM como destinatária.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 (PRESI, d): DIRAF e Gestores do SIGFIS.</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Criar a Contratação no SIGA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B.7</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Remessa do processo à DIRAF.</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 (2º b): "a GERADM faz a contratação no SIGA", sem remessa à DIRAF.</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Aprovar a Contratação no SIGA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B.8</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Solicitação à DIRPLA/GERORT da autorização da emissão da NAD.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Item 5: a PRESI aprova e encaminha à DIRPLA/GERORT "que irá emitir 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Emitir a NAD</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Verificação prévia do processo e "no sistema SIGA".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4a: "emite a NAD e faz o planejamento".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à CHEGAB</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B.9</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Solicitação de autorização da emissão de empenho pelo Presidente.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4b: "para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CHEGAB: encaminhar ao Presidente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B.10</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Autorização do empenhamento da despesa.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5b: "autorização da NAD".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Registro do contrato no TCE-RJ</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B.12</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Expressão "registro do Contrato".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 (PRESI, d): "lançamento no TCE", pelos Gestores do SIGFIS.</w:t>
            </w:r>
          </w:p>
        </w:tc>
      </w:tr>
    </w:tbl>
    <w:p>
      <w:pPr>
        <w:pStyle w:val="Heading2"/>
        <w:spacing w:after="100" w:before="200"/>
      </w:pPr>
      <w:r>
        <w:rPr>
          <w:rFonts w:ascii="Arial" w:cs="Arial" w:eastAsia="Arial" w:hAnsi="Arial"/>
          <w:b/>
          <w:bCs/>
          <w:color w:val="1F3864"/>
          <w:sz w:val="22"/>
          <w:szCs w:val="22"/>
        </w:rPr>
        <w:t xml:space="preserve">3.3 Ações incluídas na proposta que não constam no POP vigente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31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6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incluída</w:t>
            </w:r>
          </w:p>
        </w:tc>
        <w:tc>
          <w:tcPr>
            <w:tcW w:type="dxa" w:w="3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está na proposta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Receber e validar os documentos da fase preparatória (já aprovados pela ASSJUR, se necessário), conforme o POP de Elaboração de Documentos da Fase Preparatória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Item 1, texto inicial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Nas inexigibilidades, certificar a juntada da documentação comprobatória de exclusividade no fornecimento do bem ou serviço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Se o Parecer ponderar sobre a pesquisa de mercado, verificar se os fornecedores foram selecionados pelo SIGA. Se foram de fora, conferir os itens da Orientação Administrativa PGE nº 13: justificativa da fonte, pertinência temática, e-mail funcional com identificação do empregado, e prints ou PDFs com data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o valor e as condições do contrato e, caso necessário, encaminhar o Formulário de Avaliação do Programa de Integridade ao fornecedor: valor superior a 455.387,23 UFIR (obras e engenharia) ou 197.334,47 UFIR (compras e serviços) e prazo igual ou superior a 180 dias. A redação não esclarece se valor e prazo são cumulativos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1d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Abrir novo processo SEI para a avaliação do Programa de Integridade, conforme o Procedimento Padrão específico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Observação do 1d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Controle: verificar se consta nos autos a Declaração de Disponibilidade Orçamentária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Controles do item 1 (3º)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Controle: a DDI será realizada mesmo que o fornecedor não envie o Formulário e os documentos comprobatórios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Controles do item 1 (último)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Inserir o resultado da avaliação do Programa de Integridade no processo SEI específico e citá-lo no Relatório de DDI</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Elaborar o Relatório de Avaliação do Programa de Integridade, se aplicável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o grau de risco atribuído ao fornecedor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Se o risco for médio ou alto, avaliar a necessidade de alertar o(s) Diretor(es) para procedimentos adicionais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3b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SUPADM inicia a contratação no SIAFE/RIO, em paralelo com a GERADM</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SUPADM envia o processo à SUPLAN para emitir NAD/Empenho no SIGA/RJ</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CHEGAB verifica a instrução processual antes de encaminhar à PRESI</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DIRAF assina o contrato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6f e 7b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CHEGAB verifica também o grau de risco apurado no Relatório de DDI</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 (CHEGAB,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aos Gestores do SIGFIS para lançamento no TCE, com posterior envio à CHEGAB para apreciação e consolidação dos atos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 (PRESI, 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Gestor do Contrato completa os dados no SIAFE-RIO e no SIGA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9c</w:t>
            </w:r>
          </w:p>
        </w:tc>
      </w:tr>
    </w:tbl>
    <w:p>
      <w:pPr>
        <w:pStyle w:val="Heading1"/>
        <w:spacing w:after="120" w:before="280"/>
      </w:pPr>
      <w:r>
        <w:rPr>
          <w:rFonts w:ascii="Arial" w:cs="Arial" w:eastAsia="Arial" w:hAnsi="Arial"/>
          <w:b/>
          <w:bCs/>
          <w:color w:val="1F3864"/>
          <w:sz w:val="26"/>
          <w:szCs w:val="26"/>
        </w:rPr>
        <w:t xml:space="preserve">4. DETALHAMENTO DOS ACHADOS</w:t>
      </w:r>
    </w:p>
    <w:p>
      <w:pPr>
        <w:spacing w:after="100" w:before="0"/>
      </w:pPr>
      <w:r>
        <w:rPr>
          <w:rFonts w:ascii="Arial" w:cs="Arial" w:eastAsia="Arial" w:hAnsi="Arial"/>
          <w:i/>
          <w:iCs/>
          <w:sz w:val="18"/>
          <w:szCs w:val="18"/>
        </w:rPr>
        <w:t xml:space="preserve">"Origem" indica se a proposta introduz ou agrava o problema, ou se ele já existia no POP vigente e foi mantido.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01. CONSULTA A SIGA, CNEP E CEIS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13.303/2016, art. 38; RILC, art. 10 (impedimento de contratar empresa suspensa, impedida ou declarada inidônea).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item 1. POP vigente, B.1</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proposta retira a consulta a SIGA, CNEP e CEIS. Fica só a verificação de "Certidões", que não equivale à consulta às listas de sanção.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CONFORMIDADE CRÍTICA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Média / Criticidade Alto</w:t>
            </w:r>
          </w:p>
          <w:p>
            <w:pPr>
              <w:spacing w:after="40"/>
            </w:pPr>
            <w:r>
              <w:rPr>
                <w:rFonts w:ascii="Arial" w:cs="Arial" w:eastAsia="Arial" w:hAnsi="Arial"/>
                <w:b w:val="false"/>
                <w:bCs w:val="false"/>
                <w:sz w:val="18"/>
                <w:szCs w:val="18"/>
              </w:rPr>
              <w:t xml:space="preserve">Impacto Alto: contratar empresa sancionada contraria o art. 38 da Lei 13.303 e pode anular o ato. Probabilidade Média: a verificação de certidões não revela, por si, as sanções das listas.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Manter a consulta a SIGA, CNEP e CEIS entre os controles do item 1, antes da contratação.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02. PARECER OBRIGATÓRIO DA ASSJUR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Regimento Interno, art. 22.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item 1 (texto inicial). POP vigente, A.9 e A.10</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proposta prevê documentos "já aprovados pela ASSJUR, se necessário". O Regimento torna obrigatório o parecer prévio da ASSJUR sobre inexigibilidade e dispensa, ressalvada a dispensa em razão do valor, a critério do administrador.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CONFORMIDADE CRÍTICA / CRITÉRIO COMPETÊNCIA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Média / Criticidade Alto</w:t>
            </w:r>
          </w:p>
          <w:p>
            <w:pPr>
              <w:spacing w:after="40"/>
            </w:pPr>
            <w:r>
              <w:rPr>
                <w:rFonts w:ascii="Arial" w:cs="Arial" w:eastAsia="Arial" w:hAnsi="Arial"/>
                <w:b w:val="false"/>
                <w:bCs w:val="false"/>
                <w:sz w:val="18"/>
                <w:szCs w:val="18"/>
              </w:rPr>
              <w:t xml:space="preserve">Impacto Alto: contratação direta sem o parecer obrigatório contraria o Regimento e expõe o gestor. Probabilidade Média: "se necessário" dá margem para dispensar o parecer.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Dizer que o parecer é obrigatório na inexigibilidade e na dispensa. Só a dispensa em razão do valor pode ficar sem parecer, a critério do administrador, com registro nos autos.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03. RATIFICAÇÃO PELO DIRETOR-PRESIDENTE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123.</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A.3, B.5 e B.6. Proposta, item 5</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Nem o POP vigente nem a proposta preveem a ratificação da dispensa ou da inexigibilidade pelo Diretor-Presidente. A autorização do passo A.3 é para iniciar o procedimento.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CONFORMIDADE CRÍTICA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Alta / Criticidade Crítico</w:t>
            </w:r>
          </w:p>
          <w:p>
            <w:pPr>
              <w:spacing w:after="40"/>
            </w:pPr>
            <w:r>
              <w:rPr>
                <w:rFonts w:ascii="Arial" w:cs="Arial" w:eastAsia="Arial" w:hAnsi="Arial"/>
                <w:b w:val="false"/>
                <w:bCs w:val="false"/>
                <w:sz w:val="18"/>
                <w:szCs w:val="18"/>
              </w:rPr>
              <w:t xml:space="preserve">Impacto Alto: sem a ratificação, a contratação direta não cumpre o art. 123 do RILC. Probabilidade Alta: nem o POP nem a proposta preveem a etapa, e a falta se repete em toda contratação direta.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Criar o passo de ratificação pelo Diretor-Presidente, no SEI, antes da assinatura.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04. EXCEÇÕES À DDI SEM BASE NORMATIVA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RILC não prevê exceções à DDI. A função de integridade está no Regimento, art. 18, no Estatuto, art. 72, e no Código de Conduta, seção 4.2.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B.1(e). Proposta, item 1(d) (2º)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POP dispensa a DDI em quatro situações: valor abaixo de R$ 20.000,00, aditivo, adesão a Ata de Registro de Preços e contratação com órgãos públicos. Nenhuma tem base normativa. Aditivo e ARP não são contratação direta, e "órgãos da Administração Pública" não diz se inclui empresas estatais.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Alta / Criticidade Alto</w:t>
            </w:r>
          </w:p>
          <w:p>
            <w:pPr>
              <w:spacing w:after="40"/>
            </w:pPr>
            <w:r>
              <w:rPr>
                <w:rFonts w:ascii="Arial" w:cs="Arial" w:eastAsia="Arial" w:hAnsi="Arial"/>
                <w:b w:val="false"/>
                <w:bCs w:val="false"/>
                <w:sz w:val="18"/>
                <w:szCs w:val="18"/>
              </w:rPr>
              <w:t xml:space="preserve">Impacto Médio: reduz o controle de integridade, sem invalidar o contrato. Probabilidade Alta: as exceções alcançam contratações de valor baixo, aditivos, adesões a ARP e contratações com órgãos públicos, que são frequentes.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Tornar obrigatória a DDI para todas as contratações até que o RILC seja alterado.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05. JUSTIFICATIVA DO PREÇO E RAZÃO DA ESCOLHA DO FORNECEDOR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13.303/2016, art. 30, §3º, II e III; RILC, art. 121, VI e VII e parágrafo único, e art. 21.</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A.4(c) e A.5. Proposta, item 1(c)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justificativa do preço e a razão da escolha do fornecedor não são conferidas como obrigatórias. O POP vigente não as cita e a proposta só verifica a pesquisa "se o Parecer ponderar".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Média / Criticidade Alto</w:t>
            </w:r>
          </w:p>
          <w:p>
            <w:pPr>
              <w:spacing w:after="40"/>
            </w:pPr>
            <w:r>
              <w:rPr>
                <w:rFonts w:ascii="Arial" w:cs="Arial" w:eastAsia="Arial" w:hAnsi="Arial"/>
                <w:b w:val="false"/>
                <w:bCs w:val="false"/>
                <w:sz w:val="18"/>
                <w:szCs w:val="18"/>
              </w:rPr>
              <w:t xml:space="preserve">Impacto Alto: são requisitos do processo de contratação direta (Lei 13.303, art. 30, §3º) e sua falta gera apontamento de órgãos de controle. Probabilidade Média: a conferência só ocorre "se o Parecer ponderar".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Conferir sempre os dois elementos. Na inexigibilidade, comparar com os preços que a contratada pratica com outros entes. Na dispensa, usar o art. 21 do RILC e manter a Orientação PGE 13 como complemento.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06. VERIFICAÇÃO DAS RECOMENDAÇÕES DA ASSJUR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Regimento Interno, art. 29, IV.</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itens 1 e 3(c). POP vigente, B.1(b), B.3(c) e B.4(c)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verificação das recomendações da ASSJUR sai do início, passa a "caso aplicável" e só ocorre depois da DDI. A manifestação da SUPADM deixa de citar o RILC. O Regimento manda certificar que "todas" as recomendações foram atendidas.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recomendações podem deixar de ser verificadas antes da DDI. Probabilidade Média: a condição "caso aplicável" admite essa omissão.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Restabelecer a verificação antes da DDI, sem a condição "caso aplicável", e a referência ao RILC na manifestação da SUPADM.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07. CRITÉRIO DE VALOR DA DDI E CONTEÚDO DO RELATÓRIO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Regimento Interno, art. 18 (integridade nos processos de contratação); RILC, art. 4º, V.</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itens 1(d) (2º) e 2(c). POP vigente, B.1(d) e B.2(b)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DDI passa a ser feita "de acordo com o valor", sem definir o valor. O POP vigente remetia o valor à Política de Alçada, ainda "em elaboração", e a proposta não remete a nenhum documento. Saem também os critérios de alto grau de risco de integridade, e o Relatório deixa de trazer "medidas a serem adotadas".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sem critério, a DDI pode deixar de ser feita ou ser feita de forma desigual. Probabilidade Média: a proposta não remete a nenhum documento.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Definir o critério que torna a DDI obrigatória (o valor ou o documento que o fixe) e manter, no Relatório, os achados e as medidas a adotar, sem grau de risco (ver ponto 10).</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08. AVALIAÇÃO PRÉVIA DO PROGRAMA DE INTEGRIDADE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7.753/2017, arts. 1º, 4º, 5º e 10.</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item 1(d) (1º), observação e controles. POP vigente, A.8(b)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proposta pede ao fornecedor o formulário de avaliação do Programa de Integridade antes da contratação e não diz se valor e prazo são cumulativos. A Lei 7.753 não exige o programa antes de contratar: o contratado tem até 180 dias, contados da celebração do contrato, para implantá-lo (art. 5º). Só quem já o possui apresenta, no momento da contratação, declaração de sua existência (art. 10).</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exigir o programa antes da contratação vai além da Lei 7.753 e pode barrar fornecedor sem base legal. Probabilidade Média: a proposta pede o formulário antes da contratação.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Deixar claro que a avaliação prévia serve de insumo de risco e não condiciona a contratação. Pedir a declaração do art. 10 a quem já tem programa e avisar os demais do prazo de 180 dias. Citar a lei e dizer que valor e prazo são cumulativos (UFIR-RJ do ano da contratação).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09. NOTA DE EMPENHO E NAD</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121, V (compatibilidade orçamentária). Lei 4.320/1964, art. 60: confirmar com orçamento e finanças.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itens 3(e), 4, 5 e 6(a). POP vigente, B.9 a B.11</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Nota de Empenho não tem etapa nem responsável, a NAD é emitida duas vezes (itens 4 e 5) e SUPLAN e DIRPLA/GERORT parecem tratar da mesma função. A ordem nova, com a NAD antes da assinatura, é uma melhora.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CRITÉRIOS COMPLETUDE E SOBREPOSIÇÃO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etapa sem responsável e emissão duplicada de NAD afetam o controle orçamentário. Probabilidade Média: a lacuna e a duplicidade estão no texto da proposta.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Criar a etapa de autorização e emissão da NE, com responsável, antes da assinatura. Eliminar a duplicidade da NAD e uniformizar a unidade responsável.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10. ETAPAS QUE DEPENDEM DE GRAU DE RISCO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Sem norma específica. Indiretas: RILC, art. 4º, V; Estatuto, art. 72, VI e VII.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itens 3(a), 3(b) e 8 (CHEGAB, 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proposta faz o fluxo depender de um grau de risco: a SUPADM verifica o grau e as recomendações do Relatório de DDI (3a), avalia alertar a Diretoria se o risco for médio ou alto (3b) e a CHEGAB verifica o grau apurado (8). A ASSGER não dispõe de ferramenta para atribuir grau de risco, então essas etapas não têm como funcionar.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etapas que dependem de grau que a ASSGER não consegue atribuir não têm como funcionar. Probabilidade Média: a proposta ainda não está aprovada.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Retirar essas etapas do fluxo até haver ferramenta e critério definidos. Até lá, o Relatório de DDI traz os achados e as medidas a adotar, sem classificar o grau. Contratar a ferramenta de classificação. Quando existir, tornar obrigatória a comunicação à Diretoria e registrar nos autos o aceite do risco e as medidas de mitigação.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11. CONFERÊNCIA DA INEXIGIBILIDADE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13.303/2016, art. 30, II e §1º; RILC, art. 125, II e §§ 1º e 2º.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A.4(c). Proposta, item 1(b)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inexigibilidade só é conferida pela exclusividade. Ficam de fora a notória especialização e a checagem da veracidade da documentação.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inexigibilidade pode ser aceita sem conferir a notória especialização e a veracidade dos documentos. Probabilidade Média: a conferência só trata da exclusividade.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conferência do inciso II, as formas de prova de exclusividade do RILC, art. 125, §1º, e a confirmação da veracidade dos documentos.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12. CONVOCAÇÃO DO FORNECEDOR PARA ASSINATURA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136.</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B.3(e). Proposta, item 6(b)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há convocação formal do fornecedor para assinar, com prazo de 5 dias úteis e lista de documentos. O fornecedor assina antes das aprovações da DIRAF e da Presidência.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o fornecedor assina antes das aprovações internas e sem prazo e documentos definidos. Probabilidade Média: o fluxo atual permite essa ordem.</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Criar a convocação depois das aprovações internas e só então a assinatura do fornecedor.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13. PUBLICAÇÃO DO CONTRATO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137 (DOERJ e site). PNCP: nenhuma das normas de referência o cita; confirmar a base.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B.3(f) e B.6. Proposta, item 8</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Só se prevê o extrato no DOERJ. Faltam a publicação da íntegra do contrato no site da CENTRAL e no PNCP e o prazo de 30 dias.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íntegra do contrato pode deixar de ser publicada no prazo. Probabilidade Média: só se prevê o extrato no DOERJ.</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as publicações, com prazo e responsável. Pelo Regimento, art. 30, a GERLIC prepara a matéria e a CHEGAB providencia a publicação.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14. AUTORIZAÇÃO DA DIRETORIA EXECUTIVA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Estatuto, art. 34, VI.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B.5 e B.6. Proposta, itens 7 e 8</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há etapa de autorização da Diretoria Executiva para contratos de valor igual ou superior ao da modalidade concorrência. Só há aprovação da DIRAF e assinatura da Presidência.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COMPETÊNCIA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Baixa / Criticidade Médio</w:t>
            </w:r>
          </w:p>
          <w:p>
            <w:pPr>
              <w:spacing w:after="40"/>
            </w:pPr>
            <w:r>
              <w:rPr>
                <w:rFonts w:ascii="Arial" w:cs="Arial" w:eastAsia="Arial" w:hAnsi="Arial"/>
                <w:b w:val="false"/>
                <w:bCs w:val="false"/>
                <w:sz w:val="18"/>
                <w:szCs w:val="18"/>
              </w:rPr>
              <w:t xml:space="preserve">Impacto Alto: contrato sem autorização da Diretoria Executiva contraria o Estatuto. Probabilidade Baixa: atinge só contratos de valor igual ou superior ao da concorrência.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autorização da Diretoria Executiva antes da assinatura, nos contratos acima desse valor (inclui inexigibilidades de valor alto).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15. FISCALIZAÇÃO DO PROGRAMA DE INTEGRIDADE PELO GESTOR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7.753/2017, arts. 6º, 11 e 12.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B.12. Proposta, item 9</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POP não atribui ao Gestor do Contrato a fiscalização do Programa de Integridade: acompanhar o prazo de 180 dias, receber a prova documental e informar o Ordenador de Despesas sobre descumprimento ou atraso.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implantação do programa em 180 dias pode não ser acompanhada. Probabilidade Média: a atribuição não consta no POP.</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essa atribuição na etapa de execução ou remeter ao procedimento específico. A ASSGER atua como apoio técnico, preservando a segregação de funções.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16. GARANTIA DE EXECUÇÃO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13.303/2016, art. 70; RILC, arts. 145 a 148.</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e proposta (sem etapa)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POP não trata da garantia de execução do contrato. A garantia é facultativa, mas, quando exigida, deve ser apresentada no ato da assinatura, sob pena de multa, e tem limite de 5% do valor (10% em contratos de grande vulto).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garantia exigida e não conferida enfraquece a execução do contrato. Probabilidade Média: o POP não trata do tema.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Prever a verificação da garantia: registrar se foi exigida no contrato e, quando exigida, conferir sua apresentação no ato da assinatura. Nos contratos de terceirização com dedicação exclusiva de mão de obra, prever a regra do art. 147 do RILC.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17. RATIFICAÇÃO DA JUSTIFICATIVA DE RECOMENDAÇÃO NÃO ACOLHIDA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33, §1º (regra do edital, aplicada por analogia).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A.13. Proposta, itens 3(c) e 6(e)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Quando a área decide não acolher alguma recomendação da ASSJUR, o POP prevê a justificativa, mas não a ratificação dela pelo Diretor-Presidente.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Baixo / Probabilidade Média / Criticidade Baixo</w:t>
            </w:r>
          </w:p>
          <w:p>
            <w:pPr>
              <w:spacing w:after="40"/>
            </w:pPr>
            <w:r>
              <w:rPr>
                <w:rFonts w:ascii="Arial" w:cs="Arial" w:eastAsia="Arial" w:hAnsi="Arial"/>
                <w:b w:val="false"/>
                <w:bCs w:val="false"/>
                <w:sz w:val="18"/>
                <w:szCs w:val="18"/>
              </w:rPr>
              <w:t xml:space="preserve">Impacto Baixo: a base é o art. 33, §1º do RILC, aplicado por analogia, e não compromete a validade do ato. Probabilidade Média: depende de a área não acolher recomendações.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Prever a justificativa técnica da área, ratificada pelo Diretor-Presidente, juntada antes da manifestação da SUPADM.</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18. PORTARIA CENTRAL 188/2021 E OS 16 PARÂMETROS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7.753/2017, art. 4º e art. 11, §2º.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POP vigente, A.8(b). Proposta, item 1(d)</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formulário de avaliação do Programa de Integridade é definido em outro procedimento (Portaria CENTRAL 188/2021). A lei fixa 16 parâmetros de avaliação e exige que a aferição seja feita por prova documental, sem interferência na gestão da empresa.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D9D9D9"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VERIFICÁVEL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D9D9D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n/a</w:t>
            </w:r>
          </w:p>
          <w:p>
            <w:pPr>
              <w:spacing w:after="40"/>
            </w:pPr>
            <w:r>
              <w:rPr>
                <w:rFonts w:ascii="Arial" w:cs="Arial" w:eastAsia="Arial" w:hAnsi="Arial"/>
                <w:b w:val="false"/>
                <w:bCs w:val="false"/>
                <w:sz w:val="18"/>
                <w:szCs w:val="18"/>
              </w:rPr>
              <w:t xml:space="preserve">Sem a Portaria CENTRAL 188/2021 e o formulário, não é possível concluir. Registrar o documento faltante e reanalisar.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Confirmar que a Portaria CENTRAL 188/2021 e o formulário seguem os 16 parâmetros do art. 4º.</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19. NUMERAÇÃO E REMISSÕES DA PROPOSTA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Rastreabilidade (Programa de Conformidade).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itens 1, 3, 4 e 8</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Há letras repetidas (dois "d" no item 1 e dois "b" no item 3), o que compromete as remissões. O item 8 remete ao "passo a" sem dizer de qual POP.</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RASTREABILIDADE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Baixo / Probabilidade Média / Criticidade Baixo</w:t>
            </w:r>
          </w:p>
          <w:p>
            <w:pPr>
              <w:spacing w:after="40"/>
            </w:pPr>
            <w:r>
              <w:rPr>
                <w:rFonts w:ascii="Arial" w:cs="Arial" w:eastAsia="Arial" w:hAnsi="Arial"/>
                <w:b w:val="false"/>
                <w:bCs w:val="false"/>
                <w:sz w:val="18"/>
                <w:szCs w:val="18"/>
              </w:rPr>
              <w:t xml:space="preserve">Impacto Baixo: compromete as remissões, não a validade do POP. Probabilidade Média: letras repetidas geram dúvida sobre o item citado.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Corrigir a numeração e as remissões.</w:t>
            </w:r>
          </w:p>
        </w:tc>
      </w:tr>
    </w:tbl>
    <w:p>
      <w:pPr>
        <w:spacing w:after="120"/>
      </w:pPr>
    </w:p>
    <w:p>
      <w:pPr>
        <w:pStyle w:val="Heading1"/>
        <w:spacing w:after="120" w:before="280"/>
      </w:pPr>
      <w:r>
        <w:rPr>
          <w:rFonts w:ascii="Arial" w:cs="Arial" w:eastAsia="Arial" w:hAnsi="Arial"/>
          <w:b/>
          <w:bCs/>
          <w:color w:val="1F3864"/>
          <w:sz w:val="26"/>
          <w:szCs w:val="26"/>
        </w:rPr>
        <w:t xml:space="preserve">5. ATENÇÃO: NOVO RILC (MINUTA AINDA NÃO APROVADA)</w:t>
      </w:r>
    </w:p>
    <w:p>
      <w:pPr>
        <w:spacing w:after="100" w:before="0"/>
      </w:pPr>
      <w:r>
        <w:rPr>
          <w:rFonts w:ascii="Arial" w:cs="Arial" w:eastAsia="Arial" w:hAnsi="Arial"/>
          <w:sz w:val="20"/>
          <w:szCs w:val="20"/>
        </w:rPr>
        <w:t xml:space="preserve">Esta seção não aponta não conformidade, porque a Minuta não está em vigor. Registra pontos que exigirão nova revisão do POP quando o novo RILC for aprovado.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Tema</w:t>
            </w:r>
          </w:p>
        </w:tc>
        <w:tc>
          <w:tcPr>
            <w:tcW w:type="dxa" w:w="74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a Minuta prevê e o impacto no POP</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DDI para todos</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Minuta submete todos os interessados em iniciar ou manter relacionamento com a CENTRAL a diligências de integridade, sem exceção à realização da DDI. As quatro exceções do POP (achado 4) deixariam de ter amparo. Isso converge com a recomendação do achado 4.</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Risco de integridade alto</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Quem receber grau de risco alto não poderá participar de procedimentos de contratação, salvo exceções previstas em norma interna. O POP precisará tratar esse impedimento. A regra pressupõe um grau de risco que a ASSGER não consegue atribuir hoje (achado 10): sem ferramenta e critério definidos, não há como aplicá-la.</w:t>
            </w:r>
          </w:p>
        </w:tc>
      </w:tr>
      <w:tr>
        <w:trPr>
          <w:cantSplit/>
        </w:trPr>
        <w:tc>
          <w:tcPr>
            <w:tcW w:type="dxa" w:w="22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Programa de Integridade na assinatura</w:t>
            </w:r>
          </w:p>
        </w:tc>
        <w:tc>
          <w:tcPr>
            <w:tcW w:type="dxa" w:w="74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Na versão da Minuta de 29/07/2025 (art. 252, III), o contratado teria de comprovar que mantém Programa de Integridade, nos termos da Lei 7.753, como condição para assinar o contrato. A Lei 7.753 não faz essa exigência: o contratado tem até 180 dias, contados da celebração do contrato, para implantar o programa (art. 5º), e só quem já o possui apresenta declaração no momento da contratação (art. 10). Se mantida, a exigência contraria a lei e deve ser levada à ASSJUR. Esse dispositivo não consta na versão consolidada da Minuta.</w:t>
            </w:r>
          </w:p>
        </w:tc>
      </w:tr>
    </w:tbl>
    <w:p>
      <w:pPr>
        <w:spacing w:after="100" w:before="120"/>
      </w:pPr>
      <w:r>
        <w:rPr>
          <w:rFonts w:ascii="Arial" w:cs="Arial" w:eastAsia="Arial" w:hAnsi="Arial"/>
          <w:sz w:val="20"/>
          <w:szCs w:val="20"/>
        </w:rPr>
        <w:t xml:space="preserve">Há outras diferenças entre as versões da Minuta em circulação (pesquisa de preços, documentos exigidos na assinatura e formas de provar exclusividade). Elas devem ser conferidas na versão final, antes da nova revisão do POP.</w:t>
      </w:r>
    </w:p>
    <w:p>
      <w:pPr>
        <w:pStyle w:val="Heading1"/>
        <w:spacing w:after="120" w:before="280"/>
      </w:pPr>
      <w:r>
        <w:rPr>
          <w:rFonts w:ascii="Arial" w:cs="Arial" w:eastAsia="Arial" w:hAnsi="Arial"/>
          <w:b/>
          <w:bCs/>
          <w:color w:val="1F3864"/>
          <w:sz w:val="26"/>
          <w:szCs w:val="26"/>
        </w:rPr>
        <w:t xml:space="preserve">6. POSICIONAMENTO DA ASSGER</w:t>
      </w:r>
    </w:p>
    <w:p>
      <w:pPr>
        <w:spacing w:after="100" w:before="0"/>
      </w:pPr>
      <w:r>
        <w:rPr>
          <w:rFonts w:ascii="Arial" w:cs="Arial" w:eastAsia="Arial" w:hAnsi="Arial"/>
          <w:sz w:val="20"/>
          <w:szCs w:val="20"/>
        </w:rPr>
        <w:t xml:space="preserve">A ASSGER recomenda que a proposta não seja aprovada na forma atual. Há 19 achados: oito que a proposta introduz ou agrava e onze que o POP vigente já não atende e que a proposta mantém. Três são Não Conformidade Crítica, treze são Não Conforme, dois são Conforme com Ressalva e um é Não Verificável. Recomenda-se corrigir todos na mesma revisão. Os demais pontos foram testados e não apresentam divergência com as normas vigentes.</w:t>
      </w:r>
    </w:p>
    <w:p>
      <w:pPr>
        <w:spacing w:after="100" w:before="0"/>
      </w:pPr>
      <w:r>
        <w:rPr>
          <w:rFonts w:ascii="Arial" w:cs="Arial" w:eastAsia="Arial" w:hAnsi="Arial"/>
          <w:b/>
          <w:bCs/>
          <w:sz w:val="20"/>
          <w:szCs w:val="20"/>
        </w:rPr>
        <w:t xml:space="preserve">Os cinco achados de criticidade Crítica ou Alta são: </w:t>
      </w:r>
      <w:r>
        <w:rPr>
          <w:rFonts w:ascii="Arial" w:cs="Arial" w:eastAsia="Arial" w:hAnsi="Arial"/>
          <w:sz w:val="20"/>
          <w:szCs w:val="20"/>
        </w:rPr>
        <w:t xml:space="preserve">ratificação pelo Diretor-Presidente (achado 3, Crítico); consulta a SIGA, CNEP e CEIS (achado 1); parecer obrigatório da ASSJUR (achado 2); exceções à DDI sem base normativa (achado 4); justificativa do preço e razão da escolha do fornecedor (achado 5).</w:t>
      </w:r>
    </w:p>
    <w:p>
      <w:pPr>
        <w:spacing w:after="100" w:before="0"/>
      </w:pPr>
      <w:r>
        <w:rPr>
          <w:rFonts w:ascii="Arial" w:cs="Arial" w:eastAsia="Arial" w:hAnsi="Arial"/>
          <w:i/>
          <w:iCs/>
          <w:sz w:val="18"/>
          <w:szCs w:val="18"/>
        </w:rPr>
        <w:t xml:space="preserve">Criticidade: Crítica ou Alta = corrigir antes de aprovar. Média = corrigir nesta revisão. Baixa = recomendável.</w:t>
      </w:r>
    </w:p>
    <w:p>
      <w:pPr>
        <w:spacing w:after="100" w:before="240"/>
      </w:pPr>
      <w:r>
        <w:rPr>
          <w:rFonts w:ascii="Arial" w:cs="Arial" w:eastAsia="Arial" w:hAnsi="Arial"/>
          <w:sz w:val="20"/>
          <w:szCs w:val="20"/>
        </w:rPr>
        <w:t xml:space="preserve">ASSGER, [data]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 — Posicionamento da ASSGER sobre a proposta de revisão do POP de Contratação Direta ou por Inexigibilidade</dc:title>
  <dc:creator>ASSGER</dc:creator>
  <cp:lastModifiedBy>Un-named</cp:lastModifiedBy>
  <cp:revision>1</cp:revision>
  <dcterms:created xsi:type="dcterms:W3CDTF">2026-10-21T15:44:37.862Z</dcterms:created>
  <dcterms:modified xsi:type="dcterms:W3CDTF">2026-10-21T15:44:37.862Z</dcterms:modified>
</cp:coreProperties>
</file>

<file path=docProps/custom.xml><?xml version="1.0" encoding="utf-8"?>
<Properties xmlns="http://schemas.openxmlformats.org/officeDocument/2006/custom-properties" xmlns:vt="http://schemas.openxmlformats.org/officeDocument/2006/docPropsVTypes"/>
</file>