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2E2" w:rsidRDefault="00662DDA">
      <w:pPr>
        <w:spacing w:after="60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>CENTRAL – Companhia Estadual de Engenharia de Transportes e Logística</w:t>
      </w:r>
    </w:p>
    <w:p w:rsidR="00472EB7" w:rsidRDefault="00472EB7">
      <w:pPr>
        <w:spacing w:after="60"/>
      </w:pPr>
    </w:p>
    <w:p w:rsidR="003752E2" w:rsidRDefault="00662DDA">
      <w:pPr>
        <w:spacing w:after="80"/>
      </w:pPr>
      <w:r>
        <w:rPr>
          <w:b/>
          <w:bCs/>
          <w:color w:val="2F5496"/>
          <w:sz w:val="26"/>
          <w:szCs w:val="26"/>
        </w:rPr>
        <w:t>Organograma, competências, unidades vinculadas, fundos, dirigentes e pontos focais</w:t>
      </w:r>
    </w:p>
    <w:p w:rsidR="003752E2" w:rsidRDefault="00662DDA">
      <w:pPr>
        <w:spacing w:after="120"/>
      </w:pPr>
      <w:r>
        <w:rPr>
          <w:color w:val="555555"/>
          <w:sz w:val="19"/>
          <w:szCs w:val="19"/>
        </w:rPr>
        <w:t>Resposta ao Ofício nº 02/2026 da Equipe de Transição (item 1) · Of. SETRAM/GABSEC nº 838/2026 · Prazo informado: 28/10/2026</w:t>
      </w:r>
    </w:p>
    <w:p w:rsidR="003752E2" w:rsidRDefault="00662DDA">
      <w:pPr>
        <w:pStyle w:val="Ttulo1"/>
        <w:spacing w:before="240" w:after="120"/>
      </w:pPr>
      <w:r>
        <w:t>Introdução</w:t>
      </w:r>
    </w:p>
    <w:p w:rsidR="003752E2" w:rsidRDefault="00662DDA" w:rsidP="0071132B">
      <w:pPr>
        <w:jc w:val="both"/>
      </w:pPr>
      <w:r>
        <w:t>O Regimento Interno da CENTRAL, que dispõe sobre a estrutura organizacional e as competências de suas unidades, encontra-se em processo de atualização</w:t>
      </w:r>
      <w:r w:rsidR="0071132B">
        <w:t xml:space="preserve"> (processo SEI </w:t>
      </w:r>
      <w:r w:rsidR="0071132B">
        <w:rPr>
          <w:rFonts w:cstheme="minorHAnsi"/>
          <w:color w:val="000000"/>
        </w:rPr>
        <w:t>SEI-100006/000240/2022)</w:t>
      </w:r>
      <w:r>
        <w:t>. Por isso, parte da estrutura em funcionamento ainda não está refletida no texto do Regimento vigente (versão de 2024).</w:t>
      </w:r>
    </w:p>
    <w:p w:rsidR="0071132B" w:rsidRPr="0071132B" w:rsidRDefault="0071132B" w:rsidP="0071132B">
      <w:pPr>
        <w:jc w:val="both"/>
        <w:rPr>
          <w:rFonts w:cstheme="minorHAnsi"/>
          <w:color w:val="000000"/>
        </w:rPr>
      </w:pPr>
    </w:p>
    <w:p w:rsidR="003752E2" w:rsidRDefault="00662DDA" w:rsidP="0071132B">
      <w:pPr>
        <w:spacing w:after="160"/>
        <w:jc w:val="both"/>
      </w:pPr>
      <w:r>
        <w:t>Para responder ao item 1 do Ofício nº 02/2026 da Equipe de Transição, este documento adota o seguinte critério: a estrutura organizacional (organograma) segue a configuração atual, divulgada no site da CENTRAL e confirmada pela própria Companhia. Já as competências das unidades são as constantes do Regimento Interno e do Estatuto Social vigentes. Nas unidades criadas ou renomeadas após o Regimento (Corregedoria, Assessoria de Comunicação Social e Assessoria de Serviço Social, Segurança e Medicina do Trabalho), as competências ainda não estão formalizadas e serão atualizadas com a conclusão da revisão do Regimento.</w:t>
      </w:r>
    </w:p>
    <w:p w:rsidR="003752E2" w:rsidRDefault="00662DDA">
      <w:pPr>
        <w:pStyle w:val="Ttulo1"/>
        <w:spacing w:before="240" w:after="120"/>
      </w:pPr>
      <w:r>
        <w:t>1. Identificação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Natureza: empresa pública de capital fechado, integrante da Administração Indireta do Estado do Rio de Janeiro, vinculada à Secretaria de Estado de Transportes (Estatuto, art. 1º).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Regime: Lei nº 13.303/2016, Lei nº 6.404/1976, Decreto Estadual nº 46.188/2017 e legislação aplicável.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Objeto: planejar, projetar e fiscalizar a construção e a implantação do sistema de transporte sobre trilhos ou guiados no Estado, e executar atividades conexas: estudos, conservação e reparação de equipamentos essenciais, implantação de sistemas de transportes e terminais de passageiros (Estatuto, art. 3º).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Sede e foro: cidade do Rio de Janeiro (Estatuto, art. 2º).</w:t>
      </w:r>
    </w:p>
    <w:p w:rsidR="005D485F" w:rsidRDefault="00662DDA">
      <w:pPr>
        <w:pStyle w:val="PargrafodaLista"/>
        <w:numPr>
          <w:ilvl w:val="0"/>
          <w:numId w:val="2"/>
        </w:numPr>
        <w:spacing w:after="50"/>
        <w:sectPr w:rsidR="005D485F" w:rsidSect="005D485F">
          <w:footerReference w:type="default" r:id="rId8"/>
          <w:pgSz w:w="11906" w:h="16838"/>
          <w:pgMar w:top="720" w:right="900" w:bottom="720" w:left="900" w:header="708" w:footer="708" w:gutter="0"/>
          <w:cols w:space="720"/>
          <w:docGrid w:linePitch="360"/>
        </w:sectPr>
      </w:pPr>
      <w:r>
        <w:t>Documentos de referência: Estatuto Social (POL-CENTRAL-001, aprovado pelo CONADM em 11/11/2024) e Regimento Interno (SEI nº 77097301).</w:t>
      </w:r>
    </w:p>
    <w:p w:rsidR="003752E2" w:rsidRDefault="003752E2"/>
    <w:p w:rsidR="003752E2" w:rsidRDefault="00662DDA">
      <w:pPr>
        <w:pStyle w:val="Ttulo1"/>
        <w:spacing w:before="240" w:after="120"/>
      </w:pPr>
      <w:r>
        <w:t>2. Organograma</w:t>
      </w:r>
    </w:p>
    <w:p w:rsidR="003752E2" w:rsidRDefault="00662DDA">
      <w:pPr>
        <w:pStyle w:val="Ttulo2"/>
        <w:spacing w:before="180" w:after="80"/>
      </w:pPr>
      <w:r>
        <w:t>2.1 Visão geral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429500" cy="5267325"/>
            <wp:effectExtent l="0" t="0" r="0" b="0"/>
            <wp:docPr id="1" name="f1.png" descr="Organograma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2.2 Diretoria da Presidência (PRESI)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038350"/>
            <wp:effectExtent l="0" t="0" r="0" b="0"/>
            <wp:docPr id="2" name="f_presi.png" descr="Organograma" title="f_pre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pStyle w:val="Ttulo2"/>
        <w:spacing w:before="180" w:after="80"/>
      </w:pPr>
      <w:r>
        <w:t>2.3 Diretoria de Administração e Finanças (DIRAF)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647950"/>
            <wp:effectExtent l="0" t="0" r="0" b="0"/>
            <wp:docPr id="3" name="f_diraf.png" descr="Organograma" title="f_dir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2.4 Diretoria de Engenharia e Operação (DIREO)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620000" cy="3057525"/>
            <wp:effectExtent l="0" t="0" r="0" b="0"/>
            <wp:docPr id="4" name="f_direo.png" descr="Organograma" title="f_dir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pStyle w:val="Ttulo2"/>
        <w:spacing w:before="180" w:after="80"/>
      </w:pPr>
      <w:r>
        <w:t>2.5 Diretoria de Planejamento (DIRPLA)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3048000" cy="2085975"/>
            <wp:effectExtent l="0" t="0" r="0" b="0"/>
            <wp:docPr id="5" name="f_dirpla.png" descr="Organograma" title="f_dirp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1"/>
        <w:spacing w:before="240" w:after="120"/>
      </w:pPr>
      <w:r>
        <w:lastRenderedPageBreak/>
        <w:t>3. Unidades, competências, dirigentes e pontos focais</w:t>
      </w:r>
    </w:p>
    <w:p w:rsidR="003752E2" w:rsidRDefault="00662DDA">
      <w:pPr>
        <w:spacing w:after="80"/>
      </w:pPr>
      <w:r>
        <w:rPr>
          <w:color w:val="555555"/>
          <w:sz w:val="19"/>
          <w:szCs w:val="19"/>
        </w:rPr>
        <w:t>Competências resumidas do Regimento Interno; o texto integral está no artigo indicado na coluna Base.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627"/>
        <w:gridCol w:w="1839"/>
        <w:gridCol w:w="5816"/>
        <w:gridCol w:w="1039"/>
        <w:gridCol w:w="1461"/>
        <w:gridCol w:w="1369"/>
      </w:tblGrid>
      <w:tr w:rsidR="003752E2" w:rsidTr="0001520B">
        <w:trPr>
          <w:tblHeader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Sigla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Unidade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Subordinação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Competências principais (resumo do Regimento)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Dirigente (nome / cargo)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Ponto focal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1. Órgãos superiores de deliberação colegiada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Delibera sobre transformação, fusão, cisão e dissolução; reforma do estatuto; eleição e destituição de conselheiros e membros do Comitê de Auditoria; remuneração dos administradores; contas e demonstrações financeiras do exercício; alienação de imóveis vinculados ao serviço.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3º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Acionistas da Companhia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Fixa a orientação geral dos negócios; elege e destitui a Diretoria Executiva; fiscaliza a gestão; aprova plano de negócios e estratégico, políticas (inclusive de riscos e conformidade), Regimento Interno e Regulamento de Licitações; nomeia o titular da Auditoria Interna; cria e elege os comitês de suporte.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4º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Pr="0001520B" w:rsidRDefault="0001520B" w:rsidP="0001520B">
            <w:pPr>
              <w:jc w:val="center"/>
              <w:rPr>
                <w:b/>
                <w:sz w:val="16"/>
                <w:szCs w:val="16"/>
              </w:rPr>
            </w:pPr>
            <w:r w:rsidRPr="0001520B">
              <w:rPr>
                <w:sz w:val="16"/>
                <w:szCs w:val="16"/>
              </w:rPr>
              <w:t xml:space="preserve">Egnaldo Carneiro da Silva Junior (Presidente do </w:t>
            </w:r>
            <w:r>
              <w:rPr>
                <w:sz w:val="16"/>
                <w:szCs w:val="16"/>
              </w:rPr>
              <w:t>Conselho</w:t>
            </w:r>
            <w:r w:rsidRPr="0001520B">
              <w:rPr>
                <w:sz w:val="16"/>
                <w:szCs w:val="16"/>
              </w:rPr>
              <w:t>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CONFIS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Conselho Fiscal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5º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01520B" w:rsidP="00472EB7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Diana Cabral </w:t>
            </w:r>
          </w:p>
          <w:p w:rsidR="0001520B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(Presidente do Conselho)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DIREXE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Gere as atividades da Companhia e avalia resultados; monitora riscos estratégicos e sustentabilidade; prepara os assuntos para o Conselho; apresenta o plano de negócios e a estratégia de longo prazo; submete a estrutura organizacional ao Conselho; elabora o relatório da administração e as demonstrações financeiras.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6"/>
              </w:rPr>
            </w:pPr>
          </w:p>
          <w:p w:rsidR="00472EB7" w:rsidRPr="00F43D16" w:rsidRDefault="00F43D16" w:rsidP="00472EB7">
            <w:pPr>
              <w:jc w:val="center"/>
              <w:rPr>
                <w:sz w:val="16"/>
              </w:rPr>
            </w:pPr>
            <w:r w:rsidRPr="00F43D16">
              <w:rPr>
                <w:sz w:val="16"/>
              </w:rPr>
              <w:t>Luiz Claudio Fernandes Lourenço Gomes</w:t>
            </w:r>
          </w:p>
          <w:p w:rsidR="00F43D16" w:rsidRDefault="00F43D16" w:rsidP="00472EB7">
            <w:pPr>
              <w:jc w:val="center"/>
            </w:pPr>
            <w:r w:rsidRPr="00F43D16">
              <w:rPr>
                <w:sz w:val="16"/>
              </w:rPr>
              <w:t>Presidente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2. Comitês estatutários, órgãos de suporte ao Conselho e Auditoria Interna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COMAUD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Auditoria Estatutário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6º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Pr="00F43D16" w:rsidRDefault="00F43D16" w:rsidP="00472EB7">
            <w:pPr>
              <w:jc w:val="center"/>
              <w:rPr>
                <w:sz w:val="16"/>
              </w:rPr>
            </w:pPr>
            <w:r w:rsidRPr="00F43D16">
              <w:rPr>
                <w:sz w:val="16"/>
              </w:rPr>
              <w:t>Bruno Daniel da Silva</w:t>
            </w:r>
          </w:p>
          <w:p w:rsidR="00F43D16" w:rsidRDefault="00F43D16" w:rsidP="00472EB7">
            <w:pPr>
              <w:jc w:val="center"/>
            </w:pPr>
            <w:r w:rsidRPr="00F43D16">
              <w:rPr>
                <w:sz w:val="16"/>
              </w:rPr>
              <w:t>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COMEL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Elegibilidade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7º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01520B">
            <w:pPr>
              <w:jc w:val="center"/>
              <w:rPr>
                <w:rStyle w:val="Forte"/>
                <w:b w:val="0"/>
                <w:color w:val="000000"/>
                <w:sz w:val="16"/>
                <w:szCs w:val="27"/>
              </w:rPr>
            </w:pPr>
            <w:r>
              <w:rPr>
                <w:rStyle w:val="Forte"/>
                <w:b w:val="0"/>
                <w:color w:val="000000"/>
                <w:sz w:val="16"/>
                <w:szCs w:val="27"/>
              </w:rPr>
              <w:t>Rosania Maria Machado</w:t>
            </w:r>
          </w:p>
          <w:p w:rsidR="00472EB7" w:rsidRDefault="0001520B" w:rsidP="0001520B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COMISETI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Ética e Compliance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8º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01520B" w:rsidRDefault="0001520B" w:rsidP="0001520B">
            <w:pPr>
              <w:jc w:val="center"/>
              <w:rPr>
                <w:rStyle w:val="Forte"/>
                <w:b w:val="0"/>
                <w:color w:val="000000"/>
                <w:sz w:val="16"/>
                <w:szCs w:val="27"/>
              </w:rPr>
            </w:pPr>
            <w:r w:rsidRPr="0001520B">
              <w:rPr>
                <w:rStyle w:val="Forte"/>
                <w:b w:val="0"/>
                <w:color w:val="000000"/>
                <w:sz w:val="16"/>
                <w:szCs w:val="27"/>
              </w:rPr>
              <w:t>Mar</w:t>
            </w:r>
            <w:r>
              <w:rPr>
                <w:rStyle w:val="Forte"/>
                <w:b w:val="0"/>
                <w:color w:val="000000"/>
                <w:sz w:val="16"/>
                <w:szCs w:val="27"/>
              </w:rPr>
              <w:t>co Antônio R</w:t>
            </w:r>
            <w:r w:rsidRPr="0001520B">
              <w:rPr>
                <w:rStyle w:val="Forte"/>
                <w:b w:val="0"/>
                <w:color w:val="000000"/>
                <w:sz w:val="16"/>
                <w:szCs w:val="27"/>
              </w:rPr>
              <w:t>amos</w:t>
            </w:r>
          </w:p>
          <w:p w:rsidR="00472EB7" w:rsidRDefault="0001520B" w:rsidP="0001520B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COMISEINF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Segurança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Promove a cultura de segurança da informação; propõe normas, procedimentos e recursos; acompanha investigações de quebras de segurança.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9º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Pr="0001520B" w:rsidRDefault="00F43D16" w:rsidP="00472EB7">
            <w:pPr>
              <w:jc w:val="center"/>
              <w:rPr>
                <w:sz w:val="16"/>
                <w:szCs w:val="17"/>
              </w:rPr>
            </w:pPr>
          </w:p>
          <w:p w:rsidR="00472EB7" w:rsidRDefault="0001520B" w:rsidP="00472EB7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01520B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lastRenderedPageBreak/>
              <w:t>COMRISDP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Resposta a Incidentes de Segurança com Dados Pessoais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Conduz os procedimentos em caso de suspeita ou confirmação de incidente com dados pessoais. Composto pelo Diretor-Presidente, DIRAF, DPO, presidente do COMISEINF, Superintendente de TI, chefe da ASSJUR e titular da comunicação social (GERCOM no Regimento; ASSCOM atualmente).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10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43D16" w:rsidRDefault="00F43D16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Priscila Dantas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01520B" w:rsidRDefault="0001520B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Priscila Dantas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COMESG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Comitê Estratégico de Sustentabilidade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 w:rsidRPr="00F43D16">
              <w:rPr>
                <w:sz w:val="18"/>
              </w:rPr>
              <w:t>Heitor Luiz Maciel Pereira Diretor de Administração e Finanças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472EB7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COMISPAC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Comissão Permanente de Atividades Correcionais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 (reporta ao Diretor-Presidente)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Dá celeridade aos trabalhos de sindicância punitiva, processo administrativo sancionador e disciplinar, tomada de contas e demais processos de responsabilização. Até 12 membros e um presidente.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43D16" w:rsidRDefault="00F43D16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F43D16" w:rsidP="00C531F5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Carlos </w:t>
            </w:r>
            <w:r w:rsidR="00E85391">
              <w:rPr>
                <w:sz w:val="17"/>
                <w:szCs w:val="17"/>
              </w:rPr>
              <w:t>André</w:t>
            </w:r>
          </w:p>
          <w:p w:rsidR="00E85391" w:rsidRDefault="00E85391" w:rsidP="00C531F5">
            <w:pPr>
              <w:jc w:val="center"/>
            </w:pPr>
            <w:r>
              <w:rPr>
                <w:sz w:val="17"/>
                <w:szCs w:val="17"/>
              </w:rPr>
              <w:t>Presidente do Comitê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472EB7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Auditoria Interna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>
              <w:rPr>
                <w:sz w:val="17"/>
                <w:szCs w:val="17"/>
              </w:rPr>
              <w:t>Rosania Machado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>
              <w:rPr>
                <w:sz w:val="17"/>
                <w:szCs w:val="17"/>
              </w:rPr>
              <w:t>Rosania Machado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 Diretoria da Presidência (PRESI) e órgãos de assessoramento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PRESI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da Presidência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sz w:val="17"/>
                <w:szCs w:val="17"/>
              </w:rPr>
              <w:t>Luiz Claudio Fernandes Lourenço Gomes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224F42" w:rsidP="00C531F5">
            <w:pPr>
              <w:jc w:val="center"/>
            </w:pPr>
            <w:r>
              <w:rPr>
                <w:sz w:val="17"/>
                <w:szCs w:val="17"/>
              </w:rPr>
              <w:t>André Miranda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CHEGAB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Gabinete da Presidência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Savio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224F42" w:rsidP="00C531F5">
            <w:pPr>
              <w:jc w:val="center"/>
            </w:pPr>
            <w:r>
              <w:rPr>
                <w:sz w:val="17"/>
                <w:szCs w:val="17"/>
              </w:rPr>
              <w:t>André Miranda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ASSGER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Governança, Riscos e Compliance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 (liderada pelo Diretor-Presidente)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Governança corporativa e Lei das Estatais; Relatório Anual de Governança; integridade e compliance; políticas de conformidade, controle interno e gerenciamento de riscos; coordena identificação, avaliação e planos de ação de riscos; planos de contingência; relatórios trimestrais.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5D485F" w:rsidP="00C531F5">
            <w:pPr>
              <w:jc w:val="center"/>
            </w:pPr>
            <w:r>
              <w:rPr>
                <w:sz w:val="17"/>
                <w:szCs w:val="17"/>
              </w:rPr>
              <w:t>Clarice Paiva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Clarice Paiva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ASSTAD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Técnica e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034A3" w:rsidRPr="00E034A3" w:rsidRDefault="00E034A3" w:rsidP="00C531F5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Ana Caroline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ASSCON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Gestão de Contratos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Patrícia Matos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Patrícia Matos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ASSJUR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Jurídica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  <w:rPr>
                <w:sz w:val="17"/>
                <w:szCs w:val="17"/>
              </w:rPr>
            </w:pPr>
            <w:r w:rsidRPr="00E034A3">
              <w:rPr>
                <w:sz w:val="17"/>
                <w:szCs w:val="17"/>
              </w:rPr>
              <w:t>Leonardo Fuentes Fauaz de Andrade</w:t>
            </w:r>
          </w:p>
          <w:p w:rsidR="00E034A3" w:rsidRPr="00E034A3" w:rsidRDefault="00E034A3" w:rsidP="00C531F5">
            <w:pPr>
              <w:jc w:val="center"/>
              <w:rPr>
                <w:highlight w:val="yellow"/>
              </w:rPr>
            </w:pPr>
            <w:r>
              <w:rPr>
                <w:sz w:val="17"/>
                <w:szCs w:val="17"/>
              </w:rPr>
              <w:t>(procurador)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  <w:rPr>
                <w:sz w:val="17"/>
                <w:szCs w:val="17"/>
              </w:rPr>
            </w:pPr>
            <w:r w:rsidRPr="00E034A3">
              <w:rPr>
                <w:sz w:val="17"/>
                <w:szCs w:val="17"/>
              </w:rPr>
              <w:t>Leonardo Fuentes Fauaz de Andrade</w:t>
            </w:r>
          </w:p>
          <w:p w:rsidR="00E034A3" w:rsidRPr="00E034A3" w:rsidRDefault="00E034A3" w:rsidP="00C531F5">
            <w:pPr>
              <w:jc w:val="center"/>
              <w:rPr>
                <w:highlight w:val="yellow"/>
              </w:rPr>
            </w:pPr>
            <w:r>
              <w:rPr>
                <w:sz w:val="17"/>
                <w:szCs w:val="17"/>
              </w:rPr>
              <w:t>(procurador)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bookmarkStart w:id="0" w:name="_GoBack" w:colFirst="5" w:colLast="6"/>
            <w:r>
              <w:rPr>
                <w:b/>
                <w:bCs/>
                <w:sz w:val="17"/>
                <w:szCs w:val="17"/>
              </w:rPr>
              <w:lastRenderedPageBreak/>
              <w:t>ASSCOM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Comunicação Social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a gestão em comunicação social; divulga atos, ações e eventos; produz material gráfico, audiovisual e digital; relacionamento com a imprensa e os públicos da instituição. (Competências do Regimento para a GERCOM, art. 23, que passou a ASSCOM; conferir.)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23 (GERCOM)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Rosana Freitas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Rosana Freitas</w:t>
            </w:r>
          </w:p>
        </w:tc>
      </w:tr>
      <w:bookmarkEnd w:id="0"/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CORREG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Corregedoria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Unidade criada após o Regimento de 2024; competências a informar pela CENTRAL. Referência: a COMISPAC (Reg. art. 12) trata das atividades correcionais, e a ASSGER propõe a padronização dos procedimentos de correição (Reg. art. 18, XI).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atualizar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OUVI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Ouvidoria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E034A3" w:rsidP="00B85048">
            <w:pPr>
              <w:jc w:val="center"/>
            </w:pPr>
            <w:r>
              <w:rPr>
                <w:sz w:val="17"/>
                <w:szCs w:val="17"/>
              </w:rPr>
              <w:t>Deise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B85048" w:rsidP="00B85048">
            <w:pPr>
              <w:jc w:val="center"/>
            </w:pPr>
            <w:r>
              <w:rPr>
                <w:sz w:val="17"/>
                <w:szCs w:val="17"/>
              </w:rPr>
              <w:t>Deise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4. Diretoria de Administração e Finanças (DIRAF)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DIRAF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Administração e Finanças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</w:rPr>
              <w:t>Heitor Luiz Maciel Pereira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</w:rPr>
              <w:t>Heitor Luiz Maciel Pereira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SUPTIN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Tecnologia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Cumpre as diretrizes técnicas do PRODERJ; encaminha o planejamento anual de TIC e o PDTIC; responde pela política de TIC da Companhia.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85391" w:rsidRDefault="00E85391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3752E2" w:rsidRPr="00B85048" w:rsidRDefault="003752E2" w:rsidP="00C531F5">
            <w:pPr>
              <w:jc w:val="center"/>
              <w:rPr>
                <w:highlight w:val="yellow"/>
              </w:rPr>
            </w:pP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85391" w:rsidRDefault="00E85391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3752E2" w:rsidRPr="00B85048" w:rsidRDefault="003752E2" w:rsidP="00C531F5">
            <w:pPr>
              <w:jc w:val="center"/>
              <w:rPr>
                <w:highlight w:val="yellow"/>
              </w:rPr>
            </w:pP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GERTIN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Tecnologia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SUPTIN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Avalia necessidades de software, hardware e dados; mantém aplicações e sistemas; gerencia as redes; fiscaliza fornecimentos e serviços de TI.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Maik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Maik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Angela Crespo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Angela Crespo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GERLIC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Licitações e Contratos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A7040F" w:rsidRDefault="00A7040F" w:rsidP="00C531F5">
            <w:pPr>
              <w:jc w:val="center"/>
              <w:rPr>
                <w:highlight w:val="yellow"/>
              </w:rPr>
            </w:pPr>
            <w:r w:rsidRPr="00A7040F">
              <w:rPr>
                <w:bCs/>
                <w:sz w:val="17"/>
                <w:szCs w:val="17"/>
              </w:rPr>
              <w:t>Karen Cassiano de Lunna Silva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A7040F" w:rsidP="00C531F5">
            <w:pPr>
              <w:jc w:val="center"/>
              <w:rPr>
                <w:highlight w:val="yellow"/>
              </w:rPr>
            </w:pPr>
            <w:r w:rsidRPr="00A7040F">
              <w:rPr>
                <w:bCs/>
                <w:sz w:val="17"/>
                <w:szCs w:val="17"/>
              </w:rPr>
              <w:t>Karen Cassiano de Lunna Silva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C531F5">
              <w:rPr>
                <w:color w:val="000000"/>
                <w:sz w:val="16"/>
                <w:szCs w:val="27"/>
              </w:rPr>
              <w:t>Misma Ottana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C531F5">
              <w:rPr>
                <w:color w:val="000000"/>
                <w:sz w:val="16"/>
                <w:szCs w:val="27"/>
              </w:rPr>
              <w:t>Misma Ottana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SUPGEP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de Pessoas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política de gestão de pessoas, os gastos de pessoal e a folha de pagamento; identifica estratégias de gestão de pessoas; cumpre e faz cumprir a legislação da área.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  <w:rPr>
                <w:sz w:val="20"/>
                <w:highlight w:val="yellow"/>
              </w:rPr>
            </w:pPr>
            <w:r w:rsidRPr="00E85391">
              <w:rPr>
                <w:color w:val="000000"/>
                <w:sz w:val="16"/>
                <w:szCs w:val="27"/>
              </w:rPr>
              <w:t>Valdenice Alves da Silva de Paula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  <w:rPr>
                <w:sz w:val="20"/>
                <w:highlight w:val="yellow"/>
              </w:rPr>
            </w:pPr>
            <w:r w:rsidRPr="00E85391">
              <w:rPr>
                <w:color w:val="000000"/>
                <w:sz w:val="16"/>
                <w:szCs w:val="27"/>
              </w:rPr>
              <w:t>Valdenice Alves da Silva de Paula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GERGEP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Gestão de Pessoas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SUPGEP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Operacionaliza a folha, os direitos e deveres dos empregados ativos e inativos e o controle funcional; controla a programação de gastos de pessoal.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Rejane Lopes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Rejane Lopes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SUPFIC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Finanças e Contabilidade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financeira, a contabilidade e o controle; planeja a gestão de recursos próprios e provenientes do Tesouro do Estado e do Banco Mundial.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E85391" w:rsidP="00C531F5">
            <w:pPr>
              <w:jc w:val="center"/>
              <w:rPr>
                <w:sz w:val="17"/>
                <w:szCs w:val="17"/>
              </w:rPr>
            </w:pPr>
            <w:r w:rsidRPr="00E85391">
              <w:rPr>
                <w:sz w:val="17"/>
                <w:szCs w:val="17"/>
              </w:rPr>
              <w:t>Paulo Segges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E85391" w:rsidP="00C531F5">
            <w:pPr>
              <w:jc w:val="center"/>
              <w:rPr>
                <w:sz w:val="17"/>
                <w:szCs w:val="17"/>
              </w:rPr>
            </w:pPr>
            <w:r w:rsidRPr="00E85391">
              <w:rPr>
                <w:sz w:val="17"/>
                <w:szCs w:val="17"/>
              </w:rPr>
              <w:t>Paulo Segges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GERFIN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Finanças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Anísio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 xml:space="preserve">Jorge </w:t>
            </w:r>
            <w:r w:rsidRPr="00C531F5">
              <w:rPr>
                <w:sz w:val="17"/>
                <w:szCs w:val="17"/>
              </w:rPr>
              <w:t>Anísio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GERCOT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Contabilidade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contabilidade; firma atos de responsabilidade contábil; escrituração das operações no SIAFE-RIO.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Deborah Vaz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Deborah Vaz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ASSESMT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Serviço Social, Segurança e Medicina do Trabalho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Competências do Regimento para a GERMST (art. 34), a conferir: processos pedagógicos, psicológicos, assistenciais e sociais; treinamento, recrutamento e seleção; SESMT e engenharia de segurança e medicina do trabalho.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34 (GERMST)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  <w:szCs w:val="17"/>
              </w:rPr>
              <w:t>Carlos Augusto Reis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  <w:szCs w:val="17"/>
              </w:rPr>
              <w:t>Carlos Augusto Reis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SUPAT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Carlos André Ferreira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Carlos André Ferreira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Administração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Claudia Bianca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Claudia Bianca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GERFIP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Fiscalização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Vistoria, controle e avaliação de bens patrimoniais; fiscaliza propaganda clandestina e o cumprimento das cláusulas dos instrumentos de ocupação.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Ricardo Sebastião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Ricardo Sebastião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 Diretoria de Engenharia e Operação (DIREO)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DIREO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Engenharia e Operação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6"/>
                <w:szCs w:val="16"/>
              </w:rPr>
            </w:pPr>
            <w:r w:rsidRPr="00C531F5">
              <w:rPr>
                <w:sz w:val="16"/>
                <w:szCs w:val="16"/>
              </w:rPr>
              <w:br/>
              <w:t>Ary Arruda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6"/>
                <w:szCs w:val="16"/>
              </w:rPr>
            </w:pPr>
            <w:r w:rsidRPr="00C531F5">
              <w:rPr>
                <w:sz w:val="16"/>
                <w:szCs w:val="16"/>
              </w:rPr>
              <w:t>Ary Arruda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SUPMRS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Material Rodante e Sistemas Eletroeletrônicos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Ezequiel Soares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Ezequiel Soares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Material Rodante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 material rodante; instrui os planos de manutenção; métodos para melhorar o desempenho do material rodante.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Felipe Lica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Felipe Lica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GERSIS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Sistemas Eletroeletrônicos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dos sistemas eletroeletrônicos; instrui os planos de manutenção; métodos para melhorar seu desempenho.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662DDA" w:rsidP="00C531F5">
            <w:pPr>
              <w:jc w:val="center"/>
            </w:pPr>
            <w:r w:rsidRPr="00C531F5">
              <w:rPr>
                <w:sz w:val="17"/>
                <w:szCs w:val="17"/>
              </w:rPr>
              <w:t>A</w:t>
            </w:r>
            <w:r w:rsidR="00C531F5" w:rsidRPr="00C531F5">
              <w:rPr>
                <w:sz w:val="17"/>
                <w:szCs w:val="17"/>
              </w:rPr>
              <w:t>ndré Assunção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André Assunção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SUPVIP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Via Permanente, Obras Civis e Manutenção Predial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Chaves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Chaves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GERVIP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Via Permanente e Obras Civis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de via permanente e obras civis; instrui os planos de manutenção; métodos para melhorar o desempenho.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Gabriel Nicalio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Gabriel Nicalio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Manutenção Predial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manutenção predial; elabora os planos de manutenção; apura e otimiza custos; projetos de engenharia e construção das instalações prediais.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Osmar de Souza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Osmar de Souza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SUPTRA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Manutenção e Operação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à manutenção e operação dos sistemas operados pela empresa, com foco em segurança operacional.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Thiago Neto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Thiago Neto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GEROPT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Operação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operação dos sistemas operados pela empresa; planeja e controla a circulação dos bondes e outros veículos; procedimentos de segurança.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Jerry do Quinto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Jerry do Quinto</w:t>
            </w:r>
          </w:p>
        </w:tc>
      </w:tr>
      <w:tr w:rsidR="00C531F5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b/>
                <w:bCs/>
                <w:sz w:val="17"/>
                <w:szCs w:val="17"/>
              </w:rPr>
              <w:t>GERMAT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Gerência de Manutenção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Planejamento e controle da manutenção preventiva do material rodante, equipamentos e sistemas; desempenho da manutenção do Sistema de Bondes de Santa Teresa e de outros sistemas.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Reg. art. 51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531F5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531F5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ASSPRE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Projetos Especiais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Danielle Malvaris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Danielle Malvaris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6. Diretoria de Planejamento (DIRPLA)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DIRPLA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Planejamento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planejamento e orçamento; avalia a execução dos planos, programas e projetos; coordena o planejamento estratégico e o Plano de Investimentos do Poder Executivo (PIERJ).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B85048" w:rsidP="00C531F5">
            <w:pPr>
              <w:jc w:val="center"/>
            </w:pPr>
            <w:r w:rsidRPr="00C531F5">
              <w:rPr>
                <w:sz w:val="16"/>
              </w:rPr>
              <w:t xml:space="preserve">Heitor Luiz Maciel Pereira - </w:t>
            </w:r>
            <w:r w:rsidRPr="00C531F5">
              <w:rPr>
                <w:i/>
                <w:sz w:val="16"/>
              </w:rPr>
              <w:t>Diretor de Interino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B85048" w:rsidP="00C531F5">
            <w:pPr>
              <w:jc w:val="center"/>
            </w:pPr>
            <w:r w:rsidRPr="00C531F5">
              <w:rPr>
                <w:sz w:val="16"/>
              </w:rPr>
              <w:t xml:space="preserve">Heitor Luiz Maciel Pereira - </w:t>
            </w:r>
            <w:r w:rsidRPr="00C531F5">
              <w:rPr>
                <w:i/>
                <w:sz w:val="16"/>
              </w:rPr>
              <w:t>Diretor de Interino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SUPLAN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Planejamento e Orçamento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DIRPLA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Márcio Gonçalves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Márcio Gonçalves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GERORT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Orçamento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Pires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Pires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GERPLA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Planejamento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Auxilia a gestão e a programação de investimentos; apoia a elaboração do PPA, da LDO e da PLOA; acompanha o desempenho do PPA.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Pestana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Pestana</w:t>
            </w:r>
          </w:p>
        </w:tc>
      </w:tr>
    </w:tbl>
    <w:p w:rsidR="005D485F" w:rsidRDefault="00662DDA">
      <w:pPr>
        <w:sectPr w:rsidR="005D485F">
          <w:pgSz w:w="16838" w:h="11906" w:orient="landscape"/>
          <w:pgMar w:top="900" w:right="720" w:bottom="900" w:left="720" w:header="708" w:footer="708" w:gutter="0"/>
          <w:cols w:space="720"/>
          <w:docGrid w:linePitch="360"/>
        </w:sectPr>
      </w:pPr>
      <w:r>
        <w:br w:type="page"/>
      </w:r>
    </w:p>
    <w:p w:rsidR="003752E2" w:rsidRDefault="003752E2"/>
    <w:p w:rsidR="003752E2" w:rsidRDefault="00662DDA">
      <w:pPr>
        <w:pStyle w:val="Ttulo1"/>
        <w:spacing w:before="240" w:after="120"/>
      </w:pPr>
      <w:r>
        <w:t>4. Unidades vinculadas e fundos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Vinculação: a CENTRAL é vinculada à Secretaria de Estado de Transportes (Estatuto, art. 1º). Para efeito do ofício, a autoridade superior é a SETRAM.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Unidades vinculadas ao Conselho de Administração, conforme o Regimento: COMAUD, COMEL, COMISETI, COMISEINF, COMRISDP, COMESG, COMISPAC e Auditoria Interna (Regimento, art. 2º, II a IV).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Subsidiárias ou participações societárias: nenhuma identificada nos documentos consultados.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Fundos: nenhum fundo próprio identificado. Ver o item 5.</w:t>
      </w:r>
    </w:p>
    <w:p w:rsidR="003752E2" w:rsidRDefault="00662DDA">
      <w:pPr>
        <w:pStyle w:val="Ttulo1"/>
        <w:spacing w:before="240" w:after="120"/>
      </w:pPr>
      <w:r>
        <w:t>5. Informações pendentes e pontos a confirmar</w:t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140"/>
      </w:tblGrid>
      <w:tr w:rsidR="003752E2" w:rsidTr="00E842C9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O que falta / a confirmar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Dirigentes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Nome, cargo e data de posse de cada diretor, superintendente, gerente e assessor-chefe. O Regimento traz só os cargos. Único nome identificado: o do Diretor-Presidente, constante do destinatário do ofício.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Pontos focais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Indicar, por atividade, o contato responsável para a Equipe de Transição (nome, e-mail e telefone).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Fundos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O Regimento e o Estatuto não identificam fundos próprios da CENTRAL. Aparecem apenas o fundo de pensão (previdência complementar) dos empregados e o Fundo de Indenização dos administradores (Estatuto, art. 43). Confirmar com ASSJUR e SUPFIC se há fundo vinculado.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Competências a atualizar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CORREG, ASSCOM e ASSESMT não têm competências em norma atualizada. Os textos de ASSCOM e ASSESMT repetem os da GERCOM e da GERMST. Informar também para onde foram as funções da ASSPRIN (captação de recursos e financiamentos).</w:t>
            </w:r>
          </w:p>
        </w:tc>
      </w:tr>
    </w:tbl>
    <w:p w:rsidR="00662DDA" w:rsidRDefault="00662DDA"/>
    <w:sectPr w:rsidR="00662DDA" w:rsidSect="005D485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B5C" w:rsidRDefault="00F22B5C">
      <w:r>
        <w:separator/>
      </w:r>
    </w:p>
  </w:endnote>
  <w:endnote w:type="continuationSeparator" w:id="0">
    <w:p w:rsidR="00F22B5C" w:rsidRDefault="00F22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40F" w:rsidRDefault="00A7040F">
    <w:pPr>
      <w:jc w:val="center"/>
    </w:pPr>
    <w:r>
      <w:rPr>
        <w:color w:val="666666"/>
        <w:sz w:val="16"/>
        <w:szCs w:val="16"/>
      </w:rPr>
      <w:t xml:space="preserve">CENTRAL · Transição governamental 2026 · Item 1 do Ofício nº 02/2026 · versão final, campos em amarelo a preencher ·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03A6E">
      <w:rPr>
        <w:noProof/>
        <w:color w:val="666666"/>
        <w:sz w:val="16"/>
        <w:szCs w:val="16"/>
      </w:rPr>
      <w:t>8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B5C" w:rsidRDefault="00F22B5C">
      <w:r>
        <w:separator/>
      </w:r>
    </w:p>
  </w:footnote>
  <w:footnote w:type="continuationSeparator" w:id="0">
    <w:p w:rsidR="00F22B5C" w:rsidRDefault="00F22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B51C6"/>
    <w:multiLevelType w:val="hybridMultilevel"/>
    <w:tmpl w:val="DB920EAA"/>
    <w:lvl w:ilvl="0" w:tplc="114269AC">
      <w:start w:val="1"/>
      <w:numFmt w:val="bullet"/>
      <w:lvlText w:val="•"/>
      <w:lvlJc w:val="left"/>
      <w:pPr>
        <w:ind w:left="540" w:hanging="270"/>
      </w:pPr>
    </w:lvl>
    <w:lvl w:ilvl="1" w:tplc="5B6A5F96">
      <w:numFmt w:val="decimal"/>
      <w:lvlText w:val=""/>
      <w:lvlJc w:val="left"/>
    </w:lvl>
    <w:lvl w:ilvl="2" w:tplc="6FE8B6D4">
      <w:numFmt w:val="decimal"/>
      <w:lvlText w:val=""/>
      <w:lvlJc w:val="left"/>
    </w:lvl>
    <w:lvl w:ilvl="3" w:tplc="908E0A76">
      <w:numFmt w:val="decimal"/>
      <w:lvlText w:val=""/>
      <w:lvlJc w:val="left"/>
    </w:lvl>
    <w:lvl w:ilvl="4" w:tplc="D21654AE">
      <w:numFmt w:val="decimal"/>
      <w:lvlText w:val=""/>
      <w:lvlJc w:val="left"/>
    </w:lvl>
    <w:lvl w:ilvl="5" w:tplc="FAFAD5F2">
      <w:numFmt w:val="decimal"/>
      <w:lvlText w:val=""/>
      <w:lvlJc w:val="left"/>
    </w:lvl>
    <w:lvl w:ilvl="6" w:tplc="4B36E142">
      <w:numFmt w:val="decimal"/>
      <w:lvlText w:val=""/>
      <w:lvlJc w:val="left"/>
    </w:lvl>
    <w:lvl w:ilvl="7" w:tplc="58ECE7A0">
      <w:numFmt w:val="decimal"/>
      <w:lvlText w:val=""/>
      <w:lvlJc w:val="left"/>
    </w:lvl>
    <w:lvl w:ilvl="8" w:tplc="986023B8">
      <w:numFmt w:val="decimal"/>
      <w:lvlText w:val=""/>
      <w:lvlJc w:val="left"/>
    </w:lvl>
  </w:abstractNum>
  <w:abstractNum w:abstractNumId="1" w15:restartNumberingAfterBreak="0">
    <w:nsid w:val="785D4F54"/>
    <w:multiLevelType w:val="hybridMultilevel"/>
    <w:tmpl w:val="0A5CCC6A"/>
    <w:lvl w:ilvl="0" w:tplc="99560ED2">
      <w:start w:val="1"/>
      <w:numFmt w:val="bullet"/>
      <w:lvlText w:val="●"/>
      <w:lvlJc w:val="left"/>
      <w:pPr>
        <w:ind w:left="720" w:hanging="360"/>
      </w:pPr>
    </w:lvl>
    <w:lvl w:ilvl="1" w:tplc="0C1E1576">
      <w:start w:val="1"/>
      <w:numFmt w:val="bullet"/>
      <w:lvlText w:val="○"/>
      <w:lvlJc w:val="left"/>
      <w:pPr>
        <w:ind w:left="1440" w:hanging="360"/>
      </w:pPr>
    </w:lvl>
    <w:lvl w:ilvl="2" w:tplc="B7CA48DC">
      <w:start w:val="1"/>
      <w:numFmt w:val="bullet"/>
      <w:lvlText w:val="■"/>
      <w:lvlJc w:val="left"/>
      <w:pPr>
        <w:ind w:left="2160" w:hanging="360"/>
      </w:pPr>
    </w:lvl>
    <w:lvl w:ilvl="3" w:tplc="6FEC345C">
      <w:start w:val="1"/>
      <w:numFmt w:val="bullet"/>
      <w:lvlText w:val="●"/>
      <w:lvlJc w:val="left"/>
      <w:pPr>
        <w:ind w:left="2880" w:hanging="360"/>
      </w:pPr>
    </w:lvl>
    <w:lvl w:ilvl="4" w:tplc="3F262138">
      <w:start w:val="1"/>
      <w:numFmt w:val="bullet"/>
      <w:lvlText w:val="○"/>
      <w:lvlJc w:val="left"/>
      <w:pPr>
        <w:ind w:left="3600" w:hanging="360"/>
      </w:pPr>
    </w:lvl>
    <w:lvl w:ilvl="5" w:tplc="E02CA56A">
      <w:start w:val="1"/>
      <w:numFmt w:val="bullet"/>
      <w:lvlText w:val="■"/>
      <w:lvlJc w:val="left"/>
      <w:pPr>
        <w:ind w:left="4320" w:hanging="360"/>
      </w:pPr>
    </w:lvl>
    <w:lvl w:ilvl="6" w:tplc="60EA6DD6">
      <w:start w:val="1"/>
      <w:numFmt w:val="bullet"/>
      <w:lvlText w:val="●"/>
      <w:lvlJc w:val="left"/>
      <w:pPr>
        <w:ind w:left="5040" w:hanging="360"/>
      </w:pPr>
    </w:lvl>
    <w:lvl w:ilvl="7" w:tplc="2F682E46">
      <w:start w:val="1"/>
      <w:numFmt w:val="bullet"/>
      <w:lvlText w:val="●"/>
      <w:lvlJc w:val="left"/>
      <w:pPr>
        <w:ind w:left="5760" w:hanging="360"/>
      </w:pPr>
    </w:lvl>
    <w:lvl w:ilvl="8" w:tplc="B3CABC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E2"/>
    <w:rsid w:val="0001520B"/>
    <w:rsid w:val="00224F42"/>
    <w:rsid w:val="003752E2"/>
    <w:rsid w:val="00472EB7"/>
    <w:rsid w:val="005D485F"/>
    <w:rsid w:val="00662DDA"/>
    <w:rsid w:val="0071132B"/>
    <w:rsid w:val="009E01E5"/>
    <w:rsid w:val="00A7040F"/>
    <w:rsid w:val="00B85048"/>
    <w:rsid w:val="00C531F5"/>
    <w:rsid w:val="00D03A6E"/>
    <w:rsid w:val="00E034A3"/>
    <w:rsid w:val="00E842C9"/>
    <w:rsid w:val="00E85391"/>
    <w:rsid w:val="00F22B5C"/>
    <w:rsid w:val="00F4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EF5CF7-9930-499A-9D1D-02BB7119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391"/>
  </w:style>
  <w:style w:type="paragraph" w:styleId="Ttulo1">
    <w:name w:val="heading 1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01520B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04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04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07DEE-F18C-4172-BA5D-9F4F7440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3039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PAULO QUIMA CORRÊA</cp:lastModifiedBy>
  <cp:revision>2</cp:revision>
  <cp:lastPrinted>2026-10-28T18:32:00Z</cp:lastPrinted>
  <dcterms:created xsi:type="dcterms:W3CDTF">2026-10-28T19:10:00Z</dcterms:created>
  <dcterms:modified xsi:type="dcterms:W3CDTF">2026-10-28T19:10:00Z</dcterms:modified>
</cp:coreProperties>
</file>