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pPr>
      <w:r>
        <w:drawing>
          <wp:inline xmlns:a="http://schemas.openxmlformats.org/drawingml/2006/main" xmlns:pic="http://schemas.openxmlformats.org/drawingml/2006/picture">
            <wp:extent cx="792000" cy="792000"/>
            <wp:docPr id="1" name="Picture 1"/>
            <wp:cNvGraphicFramePr>
              <a:graphicFrameLocks noChangeAspect="1"/>
            </wp:cNvGraphicFramePr>
            <a:graphic>
              <a:graphicData uri="http://schemas.openxmlformats.org/drawingml/2006/picture">
                <pic:pic>
                  <pic:nvPicPr>
                    <pic:cNvPr id="0" name="mark.png"/>
                    <pic:cNvPicPr/>
                  </pic:nvPicPr>
                  <pic:blipFill>
                    <a:blip r:embed="rId10"/>
                    <a:stretch>
                      <a:fillRect/>
                    </a:stretch>
                  </pic:blipFill>
                  <pic:spPr>
                    <a:xfrm>
                      <a:off x="0" y="0"/>
                      <a:ext cx="792000" cy="792000"/>
                    </a:xfrm>
                    <a:prstGeom prst="rect"/>
                  </pic:spPr>
                </pic:pic>
              </a:graphicData>
            </a:graphic>
          </wp:inline>
        </w:drawing>
      </w:r>
    </w:p>
    <w:p>
      <w:pPr>
        <w:pStyle w:val="Title"/>
        <w:spacing w:after="160" w:before="0"/>
      </w:pPr>
      <w:r>
        <w:rPr>
          <w:b w:val="0"/>
          <w:i w:val="0"/>
        </w:rPr>
        <w:t>Customers, reports and deposits</w:t>
      </w:r>
    </w:p>
    <w:p>
      <w:pPr>
        <w:spacing w:after="160" w:before="0"/>
      </w:pPr>
      <w:r>
        <w:rPr>
          <w:b w:val="0"/>
          <w:i w:val="0"/>
          <w:sz w:val="26"/>
        </w:rPr>
        <w:t>You do not move containers. You look after the relationship: who has what, what is late, what is owed, and the report that shows a customer what their year looked like.</w:t>
      </w:r>
    </w:p>
    <w:tbl>
      <w:tblPr>
        <w:tblStyle w:val="TableGrid"/>
        <w:tblW w:type="auto" w:w="0"/>
        <w:tblLook w:firstColumn="1" w:firstRow="1" w:lastColumn="0" w:lastRow="0" w:noHBand="0" w:noVBand="1" w:val="04A0"/>
      </w:tblPr>
      <w:tblGrid>
        <w:gridCol w:w="4986"/>
        <w:gridCol w:w="4986"/>
      </w:tblGrid>
      <w:tr>
        <w:tc>
          <w:tcPr>
            <w:tcW w:type="dxa" w:w="4986"/>
            <w:shd w:val="clear" w:fill="F4F2EC"/>
          </w:tcPr>
          <w:p>
            <w:r>
              <w:rPr>
                <w:sz w:val="19"/>
              </w:rPr>
            </w:r>
            <w:r>
              <w:rPr>
                <w:b/>
                <w:i w:val="0"/>
                <w:sz w:val="19"/>
              </w:rPr>
              <w:t>Who this is for</w:t>
            </w:r>
          </w:p>
        </w:tc>
        <w:tc>
          <w:tcPr>
            <w:tcW w:type="dxa" w:w="4986"/>
          </w:tcPr>
          <w:p>
            <w:r>
              <w:rPr>
                <w:sz w:val="19"/>
              </w:rPr>
            </w:r>
            <w:r>
              <w:rPr>
                <w:b w:val="0"/>
                <w:i w:val="0"/>
                <w:sz w:val="19"/>
              </w:rPr>
              <w:t>Sales and account managers</w:t>
            </w:r>
          </w:p>
        </w:tc>
      </w:tr>
      <w:tr>
        <w:tc>
          <w:tcPr>
            <w:tcW w:type="dxa" w:w="4986"/>
            <w:shd w:val="clear" w:fill="F4F2EC"/>
          </w:tcPr>
          <w:p>
            <w:r>
              <w:rPr>
                <w:sz w:val="19"/>
              </w:rPr>
            </w:r>
            <w:r>
              <w:rPr>
                <w:b/>
                <w:i w:val="0"/>
                <w:sz w:val="19"/>
              </w:rPr>
              <w:t>Reading time</w:t>
            </w:r>
          </w:p>
        </w:tc>
        <w:tc>
          <w:tcPr>
            <w:tcW w:type="dxa" w:w="4986"/>
          </w:tcPr>
          <w:p>
            <w:r>
              <w:rPr>
                <w:sz w:val="19"/>
              </w:rPr>
            </w:r>
            <w:r>
              <w:rPr>
                <w:b w:val="0"/>
                <w:i w:val="0"/>
                <w:sz w:val="19"/>
              </w:rPr>
              <w:t>Ten minutes</w:t>
            </w:r>
          </w:p>
        </w:tc>
      </w:tr>
      <w:tr>
        <w:tc>
          <w:tcPr>
            <w:tcW w:type="dxa" w:w="4986"/>
            <w:shd w:val="clear" w:fill="F4F2EC"/>
          </w:tcPr>
          <w:p>
            <w:r>
              <w:rPr>
                <w:sz w:val="19"/>
              </w:rPr>
            </w:r>
            <w:r>
              <w:rPr>
                <w:b/>
                <w:i w:val="0"/>
                <w:sz w:val="19"/>
              </w:rPr>
              <w:t>What you need</w:t>
            </w:r>
          </w:p>
        </w:tc>
        <w:tc>
          <w:tcPr>
            <w:tcW w:type="dxa" w:w="4986"/>
          </w:tcPr>
          <w:p>
            <w:r>
              <w:rPr>
                <w:sz w:val="19"/>
              </w:rPr>
            </w:r>
            <w:r>
              <w:rPr>
                <w:b w:val="0"/>
                <w:i w:val="0"/>
                <w:sz w:val="19"/>
              </w:rPr>
              <w:t>A laptop or a phone, and your work email address</w:t>
            </w:r>
          </w:p>
        </w:tc>
      </w:tr>
      <w:tr>
        <w:tc>
          <w:tcPr>
            <w:tcW w:type="dxa" w:w="4986"/>
            <w:shd w:val="clear" w:fill="F4F2EC"/>
          </w:tcPr>
          <w:p>
            <w:r>
              <w:rPr>
                <w:sz w:val="19"/>
              </w:rPr>
            </w:r>
            <w:r>
              <w:rPr>
                <w:b/>
                <w:i w:val="0"/>
                <w:sz w:val="19"/>
              </w:rPr>
              <w:t>The golden rule</w:t>
            </w:r>
          </w:p>
        </w:tc>
        <w:tc>
          <w:tcPr>
            <w:tcW w:type="dxa" w:w="4986"/>
          </w:tcPr>
          <w:p>
            <w:r>
              <w:rPr>
                <w:sz w:val="19"/>
              </w:rPr>
            </w:r>
            <w:r>
              <w:rPr>
                <w:b w:val="0"/>
                <w:i w:val="0"/>
                <w:sz w:val="19"/>
              </w:rPr>
              <w:t>Every number you quote comes from the record, so you never have to hedge</w:t>
            </w:r>
          </w:p>
        </w:tc>
      </w:tr>
    </w:tbl>
    <w:p>
      <w:pPr>
        <w:spacing w:after="80"/>
      </w:pPr>
    </w:p>
    <w:p>
      <w:pPr>
        <w:pStyle w:val="Heading2"/>
        <w:spacing w:after="80" w:before="0"/>
      </w:pPr>
      <w:r>
        <w:rPr>
          <w:b w:val="0"/>
          <w:i w:val="0"/>
        </w:rPr>
        <w:t>What you actually do in here</w:t>
      </w:r>
    </w:p>
    <w:p>
      <w:pPr>
        <w:spacing w:after="160"/>
        <w:jc w:val="left"/>
      </w:pPr>
      <w:r>
        <w:drawing>
          <wp:inline xmlns:a="http://schemas.openxmlformats.org/drawingml/2006/main" xmlns:pic="http://schemas.openxmlformats.org/drawingml/2006/picture">
            <wp:extent cx="5940000" cy="863680"/>
            <wp:docPr id="2" name="Picture 2"/>
            <wp:cNvGraphicFramePr>
              <a:graphicFrameLocks noChangeAspect="1"/>
            </wp:cNvGraphicFramePr>
            <a:graphic>
              <a:graphicData uri="http://schemas.openxmlformats.org/drawingml/2006/picture">
                <pic:pic>
                  <pic:nvPicPr>
                    <pic:cNvPr id="0" name="Clariq_Guide_6_Sales_and_Accounts_0.png"/>
                    <pic:cNvPicPr/>
                  </pic:nvPicPr>
                  <pic:blipFill>
                    <a:blip r:embed="rId11"/>
                    <a:stretch>
                      <a:fillRect/>
                    </a:stretch>
                  </pic:blipFill>
                  <pic:spPr>
                    <a:xfrm>
                      <a:off x="0" y="0"/>
                      <a:ext cx="5940000" cy="863680"/>
                    </a:xfrm>
                    <a:prstGeom prst="rect"/>
                  </pic:spPr>
                </pic:pic>
              </a:graphicData>
            </a:graphic>
          </wp:inline>
        </w:drawing>
      </w:r>
    </w:p>
    <w:tbl>
      <w:tblPr>
        <w:tblW w:type="auto" w:w="0"/>
        <w:jc w:val="left"/>
        <w:tblLook w:firstColumn="1" w:firstRow="1" w:lastColumn="0" w:lastRow="0" w:noHBand="0" w:noVBand="1" w:val="04A0"/>
        <w:tblBorders>
          <w:top w:val="nil"/>
          <w:left w:val="nil"/>
          <w:bottom w:val="nil"/>
          <w:right w:val="nil"/>
          <w:insideH w:val="nil"/>
          <w:insideV w:val="nil"/>
        </w:tblBorders>
      </w:tblPr>
      <w:tblGrid>
        <w:gridCol w:w="9972"/>
      </w:tblGrid>
      <w:tr>
        <w:tc>
          <w:tcPr>
            <w:tcW w:type="dxa" w:w="9972"/>
            <w:shd w:val="clear" w:fill="EAF3F9"/>
            <w:tcBorders>
              <w:left w:val="single" w:sz="24" w:color="0072B2"/>
            </w:tcBorders>
          </w:tcPr>
          <w:p>
            <w:pPr>
              <w:spacing w:after="60"/>
            </w:pPr>
            <w:r>
              <w:rPr>
                <w:sz w:val="20"/>
              </w:rPr>
            </w:r>
            <w:r>
              <w:rPr>
                <w:b/>
                <w:i w:val="0"/>
                <w:sz w:val="20"/>
              </w:rPr>
              <w:t>The report is the sales tool.</w:t>
            </w:r>
            <w:r>
              <w:rPr>
                <w:b w:val="0"/>
                <w:i w:val="0"/>
                <w:sz w:val="20"/>
              </w:rPr>
              <w:t xml:space="preserve"> A customer who receives a clear monthly report stops treating containers as somebody else's problem, and your overdue list gets shorter without a single phone call.</w:t>
            </w:r>
          </w:p>
        </w:tc>
      </w:tr>
    </w:tbl>
    <w:p>
      <w:pPr>
        <w:spacing w:after="80"/>
      </w:pPr>
    </w:p>
    <w:p>
      <w:r>
        <w:br w:type="page"/>
      </w:r>
    </w:p>
    <w:p>
      <w:pPr>
        <w:pStyle w:val="Heading1"/>
        <w:spacing w:after="120" w:before="0"/>
      </w:pPr>
      <w:r>
        <w:rPr>
          <w:b w:val="0"/>
          <w:i w:val="0"/>
        </w:rPr>
        <w:t>Your home screen</w:t>
      </w:r>
    </w:p>
    <w:p>
      <w:pPr>
        <w:spacing w:after="120" w:before="0"/>
      </w:pPr>
      <w:r>
        <w:rPr>
          <w:b w:val="0"/>
          <w:i w:val="0"/>
          <w:sz w:val="21"/>
        </w:rPr>
        <w:t>Reports first, because that is what you are here for.</w:t>
      </w:r>
    </w:p>
    <w:p>
      <w:pPr>
        <w:spacing w:after="160"/>
        <w:jc w:val="left"/>
      </w:pPr>
      <w:r>
        <w:drawing>
          <wp:inline xmlns:a="http://schemas.openxmlformats.org/drawingml/2006/main" xmlns:pic="http://schemas.openxmlformats.org/drawingml/2006/picture">
            <wp:extent cx="5940000" cy="3454718"/>
            <wp:docPr id="3" name="Picture 3"/>
            <wp:cNvGraphicFramePr>
              <a:graphicFrameLocks noChangeAspect="1"/>
            </wp:cNvGraphicFramePr>
            <a:graphic>
              <a:graphicData uri="http://schemas.openxmlformats.org/drawingml/2006/picture">
                <pic:pic>
                  <pic:nvPicPr>
                    <pic:cNvPr id="0" name="Clariq_Guide_6_Sales_and_Accounts_1.png"/>
                    <pic:cNvPicPr/>
                  </pic:nvPicPr>
                  <pic:blipFill>
                    <a:blip r:embed="rId12"/>
                    <a:stretch>
                      <a:fillRect/>
                    </a:stretch>
                  </pic:blipFill>
                  <pic:spPr>
                    <a:xfrm>
                      <a:off x="0" y="0"/>
                      <a:ext cx="5940000" cy="3454718"/>
                    </a:xfrm>
                    <a:prstGeom prst="rect"/>
                  </pic:spPr>
                </pic:pic>
              </a:graphicData>
            </a:graphic>
          </wp:inline>
        </w:drawing>
      </w:r>
    </w:p>
    <w:p>
      <w:pPr>
        <w:pStyle w:val="Heading2"/>
        <w:spacing w:after="80" w:before="0"/>
      </w:pPr>
      <w:r>
        <w:rPr>
          <w:b w:val="0"/>
          <w:i w:val="0"/>
        </w:rPr>
        <w:t>Signing in, once</w:t>
      </w:r>
    </w:p>
    <w:p>
      <w:pPr>
        <w:spacing w:after="40" w:before="120"/>
      </w:pPr>
      <w:r>
        <w:rPr>
          <w:b/>
          <w:color w:val="8E7647"/>
          <w:sz w:val="23"/>
        </w:rPr>
        <w:t xml:space="preserve">1. </w:t>
      </w:r>
      <w:r>
        <w:rPr>
          <w:b/>
          <w:i w:val="0"/>
          <w:sz w:val="23"/>
        </w:rPr>
        <w:t>Open clariq-hub.netlify.app in your phone browser</w:t>
      </w:r>
    </w:p>
    <w:p>
      <w:pPr>
        <w:spacing w:after="60" w:before="0"/>
        <w:ind w:left="340"/>
      </w:pPr>
      <w:r>
        <w:rPr>
          <w:b w:val="0"/>
          <w:i w:val="0"/>
          <w:sz w:val="21"/>
        </w:rPr>
        <w:t xml:space="preserve">Type </w:t>
      </w:r>
      <w:r>
        <w:rPr>
          <w:rFonts w:ascii="Consolas" w:hAnsi="Consolas"/>
          <w:b w:val="0"/>
          <w:i w:val="0"/>
          <w:sz w:val="21"/>
        </w:rPr>
        <w:t>clariq-hub.netlify.app</w:t>
      </w:r>
      <w:r>
        <w:rPr>
          <w:b w:val="0"/>
          <w:i w:val="0"/>
          <w:sz w:val="21"/>
        </w:rPr>
        <w:t xml:space="preserve"> into Safari or Chrome. There is nothing to install.</w:t>
      </w:r>
    </w:p>
    <w:p>
      <w:pPr>
        <w:spacing w:after="40" w:before="120"/>
      </w:pPr>
      <w:r>
        <w:rPr>
          <w:b/>
          <w:color w:val="8E7647"/>
          <w:sz w:val="23"/>
        </w:rPr>
        <w:t xml:space="preserve">2. </w:t>
      </w:r>
      <w:r>
        <w:rPr>
          <w:b/>
          <w:i w:val="0"/>
          <w:sz w:val="23"/>
        </w:rPr>
        <w:t>Type your work email address, tap Send me a link</w:t>
      </w:r>
    </w:p>
    <w:p>
      <w:pPr>
        <w:spacing w:after="60" w:before="0"/>
        <w:ind w:left="340"/>
      </w:pPr>
      <w:r>
        <w:rPr>
          <w:b w:val="0"/>
          <w:i w:val="0"/>
          <w:sz w:val="21"/>
        </w:rPr>
        <w:t>There is no password to remember. Clariq emails you a link that signs you in.</w:t>
      </w:r>
    </w:p>
    <w:tbl>
      <w:tblPr>
        <w:tblW w:type="auto" w:w="0"/>
        <w:jc w:val="left"/>
        <w:tblLook w:firstColumn="1" w:firstRow="1" w:lastColumn="0" w:lastRow="0" w:noHBand="0" w:noVBand="1" w:val="04A0"/>
        <w:tblBorders>
          <w:top w:val="nil"/>
          <w:left w:val="nil"/>
          <w:bottom w:val="nil"/>
          <w:right w:val="nil"/>
          <w:insideH w:val="nil"/>
          <w:insideV w:val="nil"/>
        </w:tblBorders>
      </w:tblPr>
      <w:tblGrid>
        <w:gridCol w:w="9972"/>
      </w:tblGrid>
      <w:tr>
        <w:tc>
          <w:tcPr>
            <w:tcW w:type="dxa" w:w="9972"/>
            <w:shd w:val="clear" w:fill="F4F2EC"/>
          </w:tcPr>
          <w:p>
            <w:r/>
            <w:r>
              <w:rPr>
                <w:b/>
                <w:i w:val="0"/>
              </w:rPr>
              <w:t>No email after a minute?</w:t>
            </w:r>
            <w:r>
              <w:rPr>
                <w:b w:val="0"/>
                <w:i w:val="0"/>
              </w:rPr>
              <w:t xml:space="preserve"> Look in junk mail. The sender is Clariq.</w:t>
            </w:r>
          </w:p>
        </w:tc>
      </w:tr>
    </w:tbl>
    <w:p>
      <w:pPr>
        <w:spacing w:after="80"/>
      </w:pPr>
    </w:p>
    <w:p>
      <w:pPr>
        <w:spacing w:after="40" w:before="120"/>
      </w:pPr>
      <w:r>
        <w:rPr>
          <w:b/>
          <w:color w:val="8E7647"/>
          <w:sz w:val="23"/>
        </w:rPr>
        <w:t xml:space="preserve">3. </w:t>
      </w:r>
      <w:r>
        <w:rPr>
          <w:b/>
          <w:i w:val="0"/>
          <w:sz w:val="23"/>
        </w:rPr>
        <w:t>Add Clariq to your home screen</w:t>
      </w:r>
    </w:p>
    <w:p>
      <w:pPr>
        <w:spacing w:after="60" w:before="0"/>
        <w:ind w:left="340"/>
      </w:pPr>
      <w:r>
        <w:rPr>
          <w:b w:val="0"/>
          <w:i w:val="0"/>
          <w:sz w:val="21"/>
        </w:rPr>
        <w:t xml:space="preserve">iPhone: share button, then </w:t>
      </w:r>
      <w:r>
        <w:rPr>
          <w:b/>
          <w:i w:val="0"/>
          <w:sz w:val="21"/>
        </w:rPr>
        <w:t>Add to Home Screen</w:t>
      </w:r>
      <w:r>
        <w:rPr>
          <w:b w:val="0"/>
          <w:i w:val="0"/>
          <w:sz w:val="21"/>
        </w:rPr>
        <w:t xml:space="preserve">. Android: three dots, then </w:t>
      </w:r>
      <w:r>
        <w:rPr>
          <w:b/>
          <w:i w:val="0"/>
          <w:sz w:val="21"/>
        </w:rPr>
        <w:t>Install app</w:t>
      </w:r>
      <w:r>
        <w:rPr>
          <w:b w:val="0"/>
          <w:i w:val="0"/>
          <w:sz w:val="21"/>
        </w:rPr>
        <w:t>. After that it is one tap, and you stay signed in for 30 days.</w:t>
      </w:r>
    </w:p>
    <w:p>
      <w:r>
        <w:br w:type="page"/>
      </w:r>
    </w:p>
    <w:p>
      <w:pPr>
        <w:pStyle w:val="Heading1"/>
        <w:spacing w:after="120" w:before="0"/>
      </w:pPr>
      <w:r>
        <w:rPr>
          <w:b w:val="0"/>
          <w:i w:val="0"/>
        </w:rPr>
        <w:t>Setting up and looking after a customer</w:t>
      </w:r>
    </w:p>
    <w:p>
      <w:pPr>
        <w:spacing w:after="40" w:before="120"/>
      </w:pPr>
      <w:r>
        <w:rPr>
          <w:b/>
          <w:color w:val="8E7647"/>
          <w:sz w:val="23"/>
        </w:rPr>
        <w:t xml:space="preserve">1. </w:t>
      </w:r>
      <w:r>
        <w:rPr>
          <w:b/>
          <w:i w:val="0"/>
          <w:sz w:val="23"/>
        </w:rPr>
        <w:t>Menu, then Customers and their sites</w:t>
      </w:r>
    </w:p>
    <w:p>
      <w:pPr>
        <w:spacing w:after="60" w:before="0"/>
        <w:ind w:left="340"/>
      </w:pPr>
      <w:r>
        <w:rPr>
          <w:b w:val="0"/>
          <w:i w:val="0"/>
          <w:sz w:val="21"/>
        </w:rPr>
        <w:t>Add the customer: legal name, trading name, contact, email, phone. Clariq gives them a number such as CUS-0004.</w:t>
      </w:r>
    </w:p>
    <w:p>
      <w:pPr>
        <w:spacing w:after="40" w:before="120"/>
      </w:pPr>
      <w:r>
        <w:rPr>
          <w:b/>
          <w:color w:val="8E7647"/>
          <w:sz w:val="23"/>
        </w:rPr>
        <w:t xml:space="preserve">2. </w:t>
      </w:r>
      <w:r>
        <w:rPr>
          <w:b/>
          <w:i w:val="0"/>
          <w:sz w:val="23"/>
        </w:rPr>
        <w:t>Add their sites</w:t>
      </w:r>
    </w:p>
    <w:p>
      <w:pPr>
        <w:spacing w:after="60" w:before="0"/>
        <w:ind w:left="340"/>
      </w:pPr>
      <w:r>
        <w:rPr>
          <w:b w:val="0"/>
          <w:i w:val="0"/>
          <w:sz w:val="21"/>
        </w:rPr>
        <w:t>One per delivery address, with the delivery and collection instructions that actually matter to a driver.</w:t>
      </w:r>
    </w:p>
    <w:tbl>
      <w:tblPr>
        <w:tblW w:type="auto" w:w="0"/>
        <w:jc w:val="left"/>
        <w:tblLook w:firstColumn="1" w:firstRow="1" w:lastColumn="0" w:lastRow="0" w:noHBand="0" w:noVBand="1" w:val="04A0"/>
        <w:tblBorders>
          <w:top w:val="nil"/>
          <w:left w:val="nil"/>
          <w:bottom w:val="nil"/>
          <w:right w:val="nil"/>
          <w:insideH w:val="nil"/>
          <w:insideV w:val="nil"/>
        </w:tblBorders>
      </w:tblPr>
      <w:tblGrid>
        <w:gridCol w:w="9972"/>
      </w:tblGrid>
      <w:tr>
        <w:tc>
          <w:tcPr>
            <w:tcW w:type="dxa" w:w="9972"/>
            <w:shd w:val="clear" w:fill="F4F2EC"/>
          </w:tcPr>
          <w:p>
            <w:r/>
            <w:r>
              <w:rPr>
                <w:b/>
                <w:i w:val="0"/>
              </w:rPr>
              <w:t>Note:</w:t>
            </w:r>
            <w:r>
              <w:rPr>
                <w:b w:val="0"/>
                <w:i w:val="0"/>
              </w:rPr>
              <w:t xml:space="preserve"> if the customer runs Clariq themselves, their sites belong to them and you will see them rather than create them.</w:t>
            </w:r>
          </w:p>
        </w:tc>
      </w:tr>
    </w:tbl>
    <w:p>
      <w:pPr>
        <w:spacing w:after="80"/>
      </w:pPr>
    </w:p>
    <w:p>
      <w:pPr>
        <w:spacing w:after="40" w:before="120"/>
      </w:pPr>
      <w:r>
        <w:rPr>
          <w:b/>
          <w:color w:val="8E7647"/>
          <w:sz w:val="23"/>
        </w:rPr>
        <w:t xml:space="preserve">3. </w:t>
      </w:r>
      <w:r>
        <w:rPr>
          <w:b/>
          <w:i w:val="0"/>
          <w:sz w:val="23"/>
        </w:rPr>
        <w:t>Add the products they buy</w:t>
      </w:r>
    </w:p>
    <w:p>
      <w:pPr>
        <w:spacing w:after="60" w:before="0"/>
        <w:ind w:left="340"/>
      </w:pPr>
      <w:r>
        <w:rPr>
          <w:b w:val="0"/>
          <w:i w:val="0"/>
          <w:sz w:val="21"/>
        </w:rPr>
        <w:t>With the safety data sheet link. That link is what their staff see when they scan a container.</w:t>
      </w:r>
    </w:p>
    <w:p>
      <w:pPr>
        <w:spacing w:after="40" w:before="120"/>
      </w:pPr>
      <w:r>
        <w:rPr>
          <w:b/>
          <w:color w:val="8E7647"/>
          <w:sz w:val="23"/>
        </w:rPr>
        <w:t xml:space="preserve">4. </w:t>
      </w:r>
      <w:r>
        <w:rPr>
          <w:b/>
          <w:i w:val="0"/>
          <w:sz w:val="23"/>
        </w:rPr>
        <w:t>Agree the return arrangement and the deposit</w:t>
      </w:r>
    </w:p>
    <w:p>
      <w:pPr>
        <w:spacing w:after="60" w:before="0"/>
        <w:ind w:left="340"/>
      </w:pPr>
      <w:r>
        <w:rPr>
          <w:b w:val="0"/>
          <w:i w:val="0"/>
          <w:sz w:val="21"/>
        </w:rPr>
        <w:t>Per container, on account, or none. It drives the deposits ledger and what appears on their report.</w:t>
      </w:r>
    </w:p>
    <w:p>
      <w:pPr>
        <w:spacing w:after="40" w:before="120"/>
      </w:pPr>
      <w:r>
        <w:rPr>
          <w:b/>
          <w:color w:val="8E7647"/>
          <w:sz w:val="23"/>
        </w:rPr>
        <w:t xml:space="preserve">5. </w:t>
      </w:r>
      <w:r>
        <w:rPr>
          <w:b/>
          <w:i w:val="0"/>
          <w:sz w:val="23"/>
        </w:rPr>
        <w:t>Consider inviting them as an organisation</w:t>
      </w:r>
    </w:p>
    <w:p>
      <w:pPr>
        <w:spacing w:after="60" w:before="0"/>
        <w:ind w:left="340"/>
      </w:pPr>
      <w:r>
        <w:rPr>
          <w:b w:val="0"/>
          <w:i w:val="0"/>
          <w:sz w:val="21"/>
        </w:rPr>
        <w:t>That gives them their own Clariq, their own register and their own people. It is the difference between a customer who returns containers and one who runs a process. Ask an Admin if you cannot see the option.</w:t>
      </w:r>
    </w:p>
    <w:tbl>
      <w:tblPr>
        <w:tblW w:type="auto" w:w="0"/>
        <w:jc w:val="left"/>
        <w:tblLook w:firstColumn="1" w:firstRow="1" w:lastColumn="0" w:lastRow="0" w:noHBand="0" w:noVBand="1" w:val="04A0"/>
        <w:tblBorders>
          <w:top w:val="nil"/>
          <w:left w:val="nil"/>
          <w:bottom w:val="nil"/>
          <w:right w:val="nil"/>
          <w:insideH w:val="nil"/>
          <w:insideV w:val="nil"/>
        </w:tblBorders>
      </w:tblPr>
      <w:tblGrid>
        <w:gridCol w:w="9972"/>
      </w:tblGrid>
      <w:tr>
        <w:tc>
          <w:tcPr>
            <w:tcW w:type="dxa" w:w="9972"/>
            <w:shd w:val="clear" w:fill="F4F2EC"/>
          </w:tcPr>
          <w:p>
            <w:pPr>
              <w:spacing w:after="60"/>
            </w:pPr>
            <w:r>
              <w:rPr>
                <w:sz w:val="22"/>
              </w:rPr>
            </w:r>
            <w:r>
              <w:rPr>
                <w:b/>
                <w:i w:val="0"/>
                <w:sz w:val="22"/>
              </w:rPr>
              <w:t>The overdue conversation, made easy</w:t>
            </w:r>
          </w:p>
          <w:p>
            <w:pPr>
              <w:spacing w:after="60"/>
            </w:pPr>
            <w:r>
              <w:rPr>
                <w:b w:val="0"/>
                <w:i w:val="0"/>
                <w:sz w:val="20"/>
              </w:rPr>
              <w:t xml:space="preserve">Open </w:t>
            </w:r>
            <w:r>
              <w:rPr>
                <w:b/>
                <w:i w:val="0"/>
                <w:sz w:val="20"/>
              </w:rPr>
              <w:t>What is overdue for return</w:t>
            </w:r>
            <w:r>
              <w:rPr>
                <w:b w:val="0"/>
                <w:i w:val="0"/>
                <w:sz w:val="20"/>
              </w:rPr>
              <w:t>, filter to your customer, and you have the number of containers, the days outstanding and the replacement value at risk. That is a factual conversation rather than an awkward one.</w:t>
            </w:r>
          </w:p>
        </w:tc>
      </w:tr>
    </w:tbl>
    <w:p>
      <w:pPr>
        <w:spacing w:after="80"/>
      </w:pPr>
    </w:p>
    <w:p>
      <w:r>
        <w:br w:type="page"/>
      </w:r>
    </w:p>
    <w:p>
      <w:pPr>
        <w:pStyle w:val="Heading1"/>
        <w:spacing w:after="120" w:before="0"/>
      </w:pPr>
      <w:r>
        <w:rPr>
          <w:b w:val="0"/>
          <w:i w:val="0"/>
        </w:rPr>
        <w:t>The reports, and what each is for</w:t>
      </w:r>
    </w:p>
    <w:tbl>
      <w:tblPr>
        <w:tblStyle w:val="TableGrid"/>
        <w:tblW w:type="auto" w:w="0"/>
        <w:jc w:val="left"/>
        <w:tblLook w:firstColumn="1" w:firstRow="1" w:lastColumn="0" w:lastRow="0" w:noHBand="0" w:noVBand="1" w:val="04A0"/>
      </w:tblPr>
      <w:tblGrid>
        <w:gridCol w:w="3324"/>
        <w:gridCol w:w="3324"/>
        <w:gridCol w:w="3324"/>
      </w:tblGrid>
      <w:tr>
        <w:tc>
          <w:tcPr>
            <w:tcW w:type="dxa" w:w="3324"/>
            <w:shd w:val="clear" w:fill="EAE7DE"/>
          </w:tcPr>
          <w:p>
            <w:pPr>
              <w:spacing w:after="40"/>
            </w:pPr>
            <w:r>
              <w:rPr>
                <w:sz w:val="19"/>
              </w:rPr>
            </w:r>
            <w:r>
              <w:rPr>
                <w:b/>
                <w:i w:val="0"/>
                <w:sz w:val="19"/>
              </w:rPr>
              <w:t>Report</w:t>
            </w:r>
          </w:p>
        </w:tc>
        <w:tc>
          <w:tcPr>
            <w:tcW w:type="dxa" w:w="3324"/>
            <w:shd w:val="clear" w:fill="EAE7DE"/>
          </w:tcPr>
          <w:p>
            <w:pPr>
              <w:spacing w:after="40"/>
            </w:pPr>
            <w:r>
              <w:rPr>
                <w:sz w:val="19"/>
              </w:rPr>
            </w:r>
            <w:r>
              <w:rPr>
                <w:b/>
                <w:i w:val="0"/>
                <w:sz w:val="19"/>
              </w:rPr>
              <w:t>What it shows</w:t>
            </w:r>
          </w:p>
        </w:tc>
        <w:tc>
          <w:tcPr>
            <w:tcW w:type="dxa" w:w="3324"/>
            <w:shd w:val="clear" w:fill="EAE7DE"/>
          </w:tcPr>
          <w:p>
            <w:pPr>
              <w:spacing w:after="40"/>
            </w:pPr>
            <w:r>
              <w:rPr>
                <w:sz w:val="19"/>
              </w:rPr>
            </w:r>
            <w:r>
              <w:rPr>
                <w:b/>
                <w:i w:val="0"/>
                <w:sz w:val="19"/>
              </w:rPr>
              <w:t>Use it for</w:t>
            </w:r>
          </w:p>
        </w:tc>
      </w:tr>
      <w:tr>
        <w:tc>
          <w:tcPr>
            <w:tcW w:type="dxa" w:w="3324"/>
          </w:tcPr>
          <w:p>
            <w:pPr>
              <w:spacing w:after="40"/>
            </w:pPr>
            <w:r>
              <w:rPr>
                <w:sz w:val="19"/>
              </w:rPr>
            </w:r>
            <w:r>
              <w:rPr>
                <w:b/>
                <w:i w:val="0"/>
                <w:sz w:val="19"/>
              </w:rPr>
              <w:t>Report for a customer</w:t>
            </w:r>
          </w:p>
        </w:tc>
        <w:tc>
          <w:tcPr>
            <w:tcW w:type="dxa" w:w="3324"/>
          </w:tcPr>
          <w:p>
            <w:pPr>
              <w:spacing w:after="40"/>
            </w:pPr>
            <w:r>
              <w:rPr>
                <w:sz w:val="19"/>
              </w:rPr>
            </w:r>
            <w:r>
              <w:rPr>
                <w:b w:val="0"/>
                <w:i w:val="0"/>
                <w:sz w:val="19"/>
              </w:rPr>
              <w:t>Their containers, cycles, returns, what is still out, by site where they have more than one</w:t>
            </w:r>
          </w:p>
        </w:tc>
        <w:tc>
          <w:tcPr>
            <w:tcW w:type="dxa" w:w="3324"/>
          </w:tcPr>
          <w:p>
            <w:pPr>
              <w:spacing w:after="40"/>
            </w:pPr>
            <w:r>
              <w:rPr>
                <w:sz w:val="19"/>
              </w:rPr>
            </w:r>
            <w:r>
              <w:rPr>
                <w:b w:val="0"/>
                <w:i w:val="0"/>
                <w:sz w:val="19"/>
              </w:rPr>
              <w:t>Monthly account contact, contract review</w:t>
            </w:r>
          </w:p>
        </w:tc>
      </w:tr>
      <w:tr>
        <w:tc>
          <w:tcPr>
            <w:tcW w:type="dxa" w:w="3324"/>
          </w:tcPr>
          <w:p>
            <w:pPr>
              <w:spacing w:after="40"/>
            </w:pPr>
            <w:r>
              <w:rPr>
                <w:sz w:val="19"/>
              </w:rPr>
            </w:r>
            <w:r>
              <w:rPr>
                <w:b/>
                <w:i w:val="0"/>
                <w:sz w:val="19"/>
              </w:rPr>
              <w:t>Chemicals on site</w:t>
            </w:r>
          </w:p>
        </w:tc>
        <w:tc>
          <w:tcPr>
            <w:tcW w:type="dxa" w:w="3324"/>
          </w:tcPr>
          <w:p>
            <w:pPr>
              <w:spacing w:after="40"/>
            </w:pPr>
            <w:r>
              <w:rPr>
                <w:sz w:val="19"/>
              </w:rPr>
            </w:r>
            <w:r>
              <w:rPr>
                <w:b w:val="0"/>
                <w:i w:val="0"/>
                <w:sz w:val="19"/>
              </w:rPr>
              <w:t>What they are holding right now and where</w:t>
            </w:r>
          </w:p>
        </w:tc>
        <w:tc>
          <w:tcPr>
            <w:tcW w:type="dxa" w:w="3324"/>
          </w:tcPr>
          <w:p>
            <w:pPr>
              <w:spacing w:after="40"/>
            </w:pPr>
            <w:r>
              <w:rPr>
                <w:sz w:val="19"/>
              </w:rPr>
            </w:r>
            <w:r>
              <w:rPr>
                <w:b w:val="0"/>
                <w:i w:val="0"/>
                <w:sz w:val="19"/>
              </w:rPr>
              <w:t>Before a visit, and for their safety people</w:t>
            </w:r>
          </w:p>
        </w:tc>
      </w:tr>
      <w:tr>
        <w:tc>
          <w:tcPr>
            <w:tcW w:type="dxa" w:w="3324"/>
          </w:tcPr>
          <w:p>
            <w:pPr>
              <w:spacing w:after="40"/>
            </w:pPr>
            <w:r>
              <w:rPr>
                <w:sz w:val="19"/>
              </w:rPr>
            </w:r>
            <w:r>
              <w:rPr>
                <w:b/>
                <w:i w:val="0"/>
                <w:sz w:val="19"/>
              </w:rPr>
              <w:t>Reuse results</w:t>
            </w:r>
          </w:p>
        </w:tc>
        <w:tc>
          <w:tcPr>
            <w:tcW w:type="dxa" w:w="3324"/>
          </w:tcPr>
          <w:p>
            <w:pPr>
              <w:spacing w:after="40"/>
            </w:pPr>
            <w:r>
              <w:rPr>
                <w:sz w:val="19"/>
              </w:rPr>
            </w:r>
            <w:r>
              <w:rPr>
                <w:b w:val="0"/>
                <w:i w:val="0"/>
                <w:sz w:val="19"/>
              </w:rPr>
              <w:t>Reuse and recovery figures for the period</w:t>
            </w:r>
          </w:p>
        </w:tc>
        <w:tc>
          <w:tcPr>
            <w:tcW w:type="dxa" w:w="3324"/>
          </w:tcPr>
          <w:p>
            <w:pPr>
              <w:spacing w:after="40"/>
            </w:pPr>
            <w:r>
              <w:rPr>
                <w:sz w:val="19"/>
              </w:rPr>
            </w:r>
            <w:r>
              <w:rPr>
                <w:b w:val="0"/>
                <w:i w:val="0"/>
                <w:sz w:val="19"/>
              </w:rPr>
              <w:t>Their sustainability reporting, and your proposals</w:t>
            </w:r>
          </w:p>
        </w:tc>
      </w:tr>
      <w:tr>
        <w:tc>
          <w:tcPr>
            <w:tcW w:type="dxa" w:w="3324"/>
          </w:tcPr>
          <w:p>
            <w:pPr>
              <w:spacing w:after="40"/>
            </w:pPr>
            <w:r>
              <w:rPr>
                <w:sz w:val="19"/>
              </w:rPr>
            </w:r>
            <w:r>
              <w:rPr>
                <w:b/>
                <w:i w:val="0"/>
                <w:sz w:val="19"/>
              </w:rPr>
              <w:t>Deposits</w:t>
            </w:r>
          </w:p>
        </w:tc>
        <w:tc>
          <w:tcPr>
            <w:tcW w:type="dxa" w:w="3324"/>
          </w:tcPr>
          <w:p>
            <w:pPr>
              <w:spacing w:after="40"/>
            </w:pPr>
            <w:r>
              <w:rPr>
                <w:sz w:val="19"/>
              </w:rPr>
            </w:r>
            <w:r>
              <w:rPr>
                <w:b w:val="0"/>
                <w:i w:val="0"/>
                <w:sz w:val="19"/>
              </w:rPr>
              <w:t>Charged, refunded, forfeited and the balance</w:t>
            </w:r>
          </w:p>
        </w:tc>
        <w:tc>
          <w:tcPr>
            <w:tcW w:type="dxa" w:w="3324"/>
          </w:tcPr>
          <w:p>
            <w:pPr>
              <w:spacing w:after="40"/>
            </w:pPr>
            <w:r>
              <w:rPr>
                <w:sz w:val="19"/>
              </w:rPr>
            </w:r>
            <w:r>
              <w:rPr>
                <w:b w:val="0"/>
                <w:i w:val="0"/>
                <w:sz w:val="19"/>
              </w:rPr>
              <w:t>Billing queries</w:t>
            </w:r>
          </w:p>
        </w:tc>
      </w:tr>
    </w:tbl>
    <w:p>
      <w:pPr>
        <w:spacing w:after="80"/>
      </w:pPr>
    </w:p>
    <w:tbl>
      <w:tblPr>
        <w:tblW w:type="auto" w:w="0"/>
        <w:jc w:val="left"/>
        <w:tblLook w:firstColumn="1" w:firstRow="1" w:lastColumn="0" w:lastRow="0" w:noHBand="0" w:noVBand="1" w:val="04A0"/>
        <w:tblBorders>
          <w:top w:val="nil"/>
          <w:left w:val="nil"/>
          <w:bottom w:val="nil"/>
          <w:right w:val="nil"/>
          <w:insideH w:val="nil"/>
          <w:insideV w:val="nil"/>
        </w:tblBorders>
      </w:tblPr>
      <w:tblGrid>
        <w:gridCol w:w="9972"/>
      </w:tblGrid>
      <w:tr>
        <w:tc>
          <w:tcPr>
            <w:tcW w:type="dxa" w:w="9972"/>
            <w:shd w:val="clear" w:fill="FFFFFF"/>
          </w:tcPr>
          <w:p>
            <w:pPr>
              <w:spacing w:after="60"/>
            </w:pPr>
            <w:r>
              <w:rPr>
                <w:sz w:val="22"/>
              </w:rPr>
            </w:r>
            <w:r>
              <w:rPr>
                <w:b/>
                <w:i w:val="0"/>
                <w:sz w:val="22"/>
              </w:rPr>
              <w:t>How to talk about the reuse figures</w:t>
            </w:r>
          </w:p>
          <w:p>
            <w:pPr>
              <w:spacing w:after="60"/>
            </w:pPr>
            <w:r>
              <w:rPr>
                <w:b w:val="0"/>
                <w:i w:val="0"/>
                <w:sz w:val="20"/>
              </w:rPr>
              <w:t xml:space="preserve">They are labelled </w:t>
            </w:r>
            <w:r>
              <w:rPr>
                <w:b w:val="0"/>
                <w:i/>
                <w:sz w:val="20"/>
              </w:rPr>
              <w:t>prepared with reference to the measurement framework of ISO 59020:2024</w:t>
            </w:r>
            <w:r>
              <w:rPr>
                <w:b w:val="0"/>
                <w:i w:val="0"/>
                <w:sz w:val="20"/>
              </w:rPr>
              <w:t>. Say exactly that. It means the figures follow the structure of the international standard for measuring circularity, and it does not claim anybody has certified them.</w:t>
            </w:r>
          </w:p>
          <w:p>
            <w:pPr>
              <w:spacing w:after="60"/>
            </w:pPr>
            <w:r>
              <w:rPr>
                <w:b w:val="0"/>
                <w:i w:val="0"/>
                <w:sz w:val="20"/>
              </w:rPr>
              <w:t>If a customer asks whether Clariq is certified, the answer is no, and the next sentence is the strong one: nobody in this market is, and anyone who says they are should be asked who assessed them and when.</w:t>
            </w:r>
          </w:p>
        </w:tc>
      </w:tr>
    </w:tbl>
    <w:p>
      <w:pPr>
        <w:spacing w:after="80"/>
      </w:pPr>
    </w:p>
    <w:tbl>
      <w:tblPr>
        <w:tblW w:type="auto" w:w="0"/>
        <w:jc w:val="left"/>
        <w:tblLook w:firstColumn="1" w:firstRow="1" w:lastColumn="0" w:lastRow="0" w:noHBand="0" w:noVBand="1" w:val="04A0"/>
        <w:tblBorders>
          <w:top w:val="nil"/>
          <w:left w:val="nil"/>
          <w:bottom w:val="nil"/>
          <w:right w:val="nil"/>
          <w:insideH w:val="nil"/>
          <w:insideV w:val="nil"/>
        </w:tblBorders>
      </w:tblPr>
      <w:tblGrid>
        <w:gridCol w:w="9972"/>
      </w:tblGrid>
      <w:tr>
        <w:tc>
          <w:tcPr>
            <w:tcW w:type="dxa" w:w="9972"/>
            <w:shd w:val="clear" w:fill="FFFFFF"/>
          </w:tcPr>
          <w:p>
            <w:pPr>
              <w:spacing w:after="60"/>
            </w:pPr>
            <w:r>
              <w:rPr>
                <w:sz w:val="22"/>
              </w:rPr>
            </w:r>
            <w:r>
              <w:rPr>
                <w:b/>
                <w:i w:val="0"/>
                <w:sz w:val="22"/>
              </w:rPr>
              <w:t>✓ You can</w:t>
            </w:r>
          </w:p>
          <w:p>
            <w:pPr>
              <w:spacing w:after="60"/>
              <w:ind w:left="283"/>
            </w:pPr>
            <w:r>
              <w:rPr>
                <w:b w:val="0"/>
                <w:i w:val="0"/>
                <w:sz w:val="20"/>
              </w:rPr>
              <w:t>• Add and edit customers, sites and products</w:t>
            </w:r>
          </w:p>
          <w:p>
            <w:pPr>
              <w:spacing w:after="60"/>
              <w:ind w:left="283"/>
            </w:pPr>
            <w:r>
              <w:rPr>
                <w:b w:val="0"/>
                <w:i w:val="0"/>
                <w:sz w:val="20"/>
              </w:rPr>
              <w:t>• Run and export every report</w:t>
            </w:r>
          </w:p>
          <w:p>
            <w:pPr>
              <w:spacing w:after="60"/>
              <w:ind w:left="283"/>
            </w:pPr>
            <w:r>
              <w:rPr>
                <w:b w:val="0"/>
                <w:i w:val="0"/>
                <w:sz w:val="20"/>
              </w:rPr>
              <w:t>• See the deposits ledger</w:t>
            </w:r>
          </w:p>
          <w:p>
            <w:pPr>
              <w:spacing w:after="60"/>
              <w:ind w:left="283"/>
            </w:pPr>
            <w:r>
              <w:rPr>
                <w:b w:val="0"/>
                <w:i w:val="0"/>
                <w:sz w:val="20"/>
              </w:rPr>
              <w:t>• See every container and where it is</w:t>
            </w:r>
          </w:p>
        </w:tc>
      </w:tr>
    </w:tbl>
    <w:p>
      <w:pPr>
        <w:spacing w:after="80"/>
      </w:pPr>
    </w:p>
    <w:tbl>
      <w:tblPr>
        <w:tblW w:type="auto" w:w="0"/>
        <w:jc w:val="left"/>
        <w:tblLook w:firstColumn="1" w:firstRow="1" w:lastColumn="0" w:lastRow="0" w:noHBand="0" w:noVBand="1" w:val="04A0"/>
        <w:tblBorders>
          <w:top w:val="nil"/>
          <w:left w:val="nil"/>
          <w:bottom w:val="nil"/>
          <w:right w:val="nil"/>
          <w:insideH w:val="nil"/>
          <w:insideV w:val="nil"/>
        </w:tblBorders>
      </w:tblPr>
      <w:tblGrid>
        <w:gridCol w:w="9972"/>
      </w:tblGrid>
      <w:tr>
        <w:tc>
          <w:tcPr>
            <w:tcW w:type="dxa" w:w="9972"/>
            <w:shd w:val="clear" w:fill="FFFFFF"/>
          </w:tcPr>
          <w:p>
            <w:pPr>
              <w:spacing w:after="60"/>
            </w:pPr>
            <w:r>
              <w:rPr>
                <w:sz w:val="22"/>
              </w:rPr>
            </w:r>
            <w:r>
              <w:rPr>
                <w:b/>
                <w:i w:val="0"/>
                <w:sz w:val="22"/>
              </w:rPr>
              <w:t>✗ You cannot</w:t>
            </w:r>
          </w:p>
          <w:p>
            <w:pPr>
              <w:spacing w:after="60"/>
              <w:ind w:left="283"/>
            </w:pPr>
            <w:r>
              <w:rPr>
                <w:b w:val="0"/>
                <w:i w:val="0"/>
                <w:sz w:val="20"/>
              </w:rPr>
              <w:t>• Fill, dispatch, wash or inspect anything</w:t>
            </w:r>
          </w:p>
          <w:p>
            <w:pPr>
              <w:spacing w:after="60"/>
              <w:ind w:left="283"/>
            </w:pPr>
            <w:r>
              <w:rPr>
                <w:b w:val="0"/>
                <w:i w:val="0"/>
                <w:sz w:val="20"/>
              </w:rPr>
              <w:t>• Change roles, people or settings</w:t>
            </w:r>
          </w:p>
          <w:p>
            <w:pPr>
              <w:spacing w:after="60"/>
              <w:ind w:left="283"/>
            </w:pPr>
            <w:r>
              <w:rPr>
                <w:b w:val="0"/>
                <w:i w:val="0"/>
                <w:sz w:val="20"/>
              </w:rPr>
              <w:t>• Edit a recorded event</w:t>
            </w:r>
          </w:p>
          <w:p>
            <w:pPr>
              <w:spacing w:after="60"/>
              <w:ind w:left="283"/>
            </w:pPr>
            <w:r>
              <w:rPr>
                <w:b w:val="0"/>
                <w:i w:val="0"/>
                <w:sz w:val="20"/>
              </w:rPr>
              <w:t>• See inside a customer organisation's own records</w:t>
            </w:r>
          </w:p>
        </w:tc>
      </w:tr>
    </w:tbl>
    <w:p>
      <w:pPr>
        <w:spacing w:after="80"/>
      </w:pPr>
    </w:p>
    <w:p>
      <w:r>
        <w:br w:type="page"/>
      </w:r>
    </w:p>
    <w:p>
      <w:pPr>
        <w:pStyle w:val="Heading2"/>
        <w:spacing w:after="80" w:before="0"/>
      </w:pPr>
      <w:r>
        <w:rPr>
          <w:b w:val="0"/>
          <w:i w:val="0"/>
        </w:rPr>
        <w:t>Chemicals we do not supply</w:t>
      </w:r>
    </w:p>
    <w:p>
      <w:pPr>
        <w:spacing w:after="120" w:before="0"/>
      </w:pPr>
      <w:r>
        <w:rPr>
          <w:b w:val="0"/>
          <w:i w:val="0"/>
          <w:sz w:val="21"/>
        </w:rPr>
        <w:t xml:space="preserve">Menu, Reports, Chemicals we do not supply. This is the opportunity list: what each customer holds in another supplier’s packaging, by site and by kind of chemistry.</w:t>
      </w:r>
    </w:p>
    <w:p>
      <w:pPr>
        <w:spacing w:after="120" w:before="0"/>
      </w:pPr>
      <w:r>
        <w:rPr>
          <w:b w:val="0"/>
          <w:i w:val="0"/>
          <w:sz w:val="21"/>
        </w:rPr>
        <w:t xml:space="preserve">You see product groups, never product names, container numbers or who supplies them. That is the level the customer agreed to, and saying so is usually the fastest way to get a customer to raise it.</w:t>
      </w:r>
    </w:p>
    <w:p>
      <w:pPr>
        <w:spacing w:after="120" w:before="0"/>
      </w:pPr>
      <w:r>
        <w:rPr>
          <w:b w:val="0"/>
          <w:i w:val="0"/>
          <w:sz w:val="21"/>
        </w:rPr>
        <w:t xml:space="preserve">The choice is theirs and it is self service. Each customer picks in their own Settings whether we see nothing, a summary, or their whole register, and they can change it at any time. We cannot set it for them and support cannot switch it on, so never tell a customer the report looks broken: it is working exactly as they configured it.</w:t>
      </w:r>
    </w:p>
    <w:p>
      <w:pPr>
        <w:spacing w:after="120" w:before="0"/>
      </w:pPr>
      <w:r>
        <w:rPr>
          <w:b w:val="0"/>
          <w:i w:val="0"/>
          <w:sz w:val="21"/>
        </w:rPr>
        <w:t xml:space="preserve">The page also says how many customers are not sharing. A customer showing you nothing is not a customer holding nothing, so treat a blank as a conversation to have rather than an account with no upside.</w:t>
      </w:r>
    </w:p>
    <w:p>
      <w:pPr>
        <w:spacing w:after="120" w:before="0"/>
      </w:pPr>
      <w:r>
        <w:rPr>
          <w:b w:val="0"/>
          <w:i w:val="0"/>
          <w:sz w:val="21"/>
        </w:rPr>
        <w:t xml:space="preserve">Chemicals on site now opens grouped by chemical, then site, then container size, which is the view to take into a visit.</w:t>
      </w:r>
    </w:p>
    <w:p>
      <w:pPr>
        <w:spacing w:after="80"/>
      </w:pPr>
    </w:p>
    <w:p>
      <w:pPr>
        <w:pStyle w:val="Heading1"/>
        <w:spacing w:after="120" w:before="0"/>
      </w:pPr>
      <w:r>
        <w:rPr>
          <w:b w:val="0"/>
          <w:i w:val="0"/>
        </w:rPr>
        <w:t>Quick reference</w:t>
      </w:r>
    </w:p>
    <w:tbl>
      <w:tblPr>
        <w:tblStyle w:val="TableGrid"/>
        <w:tblW w:type="auto" w:w="0"/>
        <w:jc w:val="left"/>
        <w:tblLook w:firstColumn="1" w:firstRow="1" w:lastColumn="0" w:lastRow="0" w:noHBand="0" w:noVBand="1" w:val="04A0"/>
      </w:tblPr>
      <w:tblGrid>
        <w:gridCol w:w="4986"/>
        <w:gridCol w:w="4986"/>
      </w:tblGrid>
      <w:tr>
        <w:tc>
          <w:tcPr>
            <w:tcW w:type="dxa" w:w="4986"/>
            <w:shd w:val="clear" w:fill="EAE7DE"/>
          </w:tcPr>
          <w:p>
            <w:pPr>
              <w:spacing w:after="40"/>
            </w:pPr>
            <w:r>
              <w:rPr>
                <w:sz w:val="19"/>
              </w:rPr>
            </w:r>
            <w:r>
              <w:rPr>
                <w:b/>
                <w:i w:val="0"/>
                <w:sz w:val="19"/>
              </w:rPr>
              <w:t>If you want to</w:t>
            </w:r>
          </w:p>
        </w:tc>
        <w:tc>
          <w:tcPr>
            <w:tcW w:type="dxa" w:w="4986"/>
            <w:shd w:val="clear" w:fill="EAE7DE"/>
          </w:tcPr>
          <w:p>
            <w:pPr>
              <w:spacing w:after="40"/>
            </w:pPr>
            <w:r>
              <w:rPr>
                <w:sz w:val="19"/>
              </w:rPr>
            </w:r>
            <w:r>
              <w:rPr>
                <w:b/>
                <w:i w:val="0"/>
                <w:sz w:val="19"/>
              </w:rPr>
              <w:t>Go to</w:t>
            </w:r>
          </w:p>
        </w:tc>
      </w:tr>
      <w:tr>
        <w:tc>
          <w:tcPr>
            <w:tcW w:type="dxa" w:w="4986"/>
          </w:tcPr>
          <w:p>
            <w:pPr>
              <w:spacing w:after="40"/>
            </w:pPr>
            <w:r>
              <w:rPr>
                <w:sz w:val="19"/>
              </w:rPr>
            </w:r>
            <w:r>
              <w:rPr>
                <w:b w:val="0"/>
                <w:i w:val="0"/>
                <w:sz w:val="19"/>
              </w:rPr>
              <w:t>See everything one customer has</w:t>
            </w:r>
          </w:p>
        </w:tc>
        <w:tc>
          <w:tcPr>
            <w:tcW w:type="dxa" w:w="4986"/>
          </w:tcPr>
          <w:p>
            <w:pPr>
              <w:spacing w:after="40"/>
            </w:pPr>
            <w:r>
              <w:rPr>
                <w:sz w:val="19"/>
              </w:rPr>
            </w:r>
            <w:r>
              <w:rPr>
                <w:b w:val="0"/>
                <w:i w:val="0"/>
                <w:sz w:val="19"/>
              </w:rPr>
              <w:t>Customers, then open them</w:t>
            </w:r>
          </w:p>
        </w:tc>
      </w:tr>
      <w:tr>
        <w:tc>
          <w:tcPr>
            <w:tcW w:type="dxa" w:w="4986"/>
          </w:tcPr>
          <w:p>
            <w:pPr>
              <w:spacing w:after="40"/>
            </w:pPr>
            <w:r>
              <w:rPr>
                <w:sz w:val="19"/>
              </w:rPr>
            </w:r>
            <w:r>
              <w:rPr>
                <w:b w:val="0"/>
                <w:i w:val="0"/>
                <w:sz w:val="19"/>
              </w:rPr>
              <w:t>Prepare for a visit</w:t>
            </w:r>
          </w:p>
        </w:tc>
        <w:tc>
          <w:tcPr>
            <w:tcW w:type="dxa" w:w="4986"/>
          </w:tcPr>
          <w:p>
            <w:pPr>
              <w:spacing w:after="40"/>
            </w:pPr>
            <w:r>
              <w:rPr>
                <w:sz w:val="19"/>
              </w:rPr>
            </w:r>
            <w:r>
              <w:rPr>
                <w:b w:val="0"/>
                <w:i w:val="0"/>
                <w:sz w:val="19"/>
              </w:rPr>
              <w:t>Chemicals on site, filtered to them</w:t>
            </w:r>
          </w:p>
        </w:tc>
      </w:tr>
      <w:tr>
        <w:tc>
          <w:tcPr>
            <w:tcW w:type="dxa" w:w="4986"/>
          </w:tcPr>
          <w:p>
            <w:pPr>
              <w:spacing w:after="40"/>
            </w:pPr>
            <w:r>
              <w:rPr>
                <w:sz w:val="19"/>
              </w:rPr>
            </w:r>
            <w:r>
              <w:rPr>
                <w:b w:val="0"/>
                <w:i w:val="0"/>
                <w:sz w:val="19"/>
              </w:rPr>
              <w:t>Chase what is late</w:t>
            </w:r>
          </w:p>
        </w:tc>
        <w:tc>
          <w:tcPr>
            <w:tcW w:type="dxa" w:w="4986"/>
          </w:tcPr>
          <w:p>
            <w:pPr>
              <w:spacing w:after="40"/>
            </w:pPr>
            <w:r>
              <w:rPr>
                <w:sz w:val="19"/>
              </w:rPr>
            </w:r>
            <w:r>
              <w:rPr>
                <w:b w:val="0"/>
                <w:i w:val="0"/>
                <w:sz w:val="19"/>
              </w:rPr>
              <w:t>What is overdue for return</w:t>
            </w:r>
          </w:p>
        </w:tc>
      </w:tr>
      <w:tr>
        <w:tc>
          <w:tcPr>
            <w:tcW w:type="dxa" w:w="4986"/>
          </w:tcPr>
          <w:p>
            <w:pPr>
              <w:spacing w:after="40"/>
            </w:pPr>
            <w:r>
              <w:rPr>
                <w:sz w:val="19"/>
              </w:rPr>
            </w:r>
            <w:r>
              <w:rPr>
                <w:b w:val="0"/>
                <w:i w:val="0"/>
                <w:sz w:val="19"/>
              </w:rPr>
              <w:t>Send a monthly report</w:t>
            </w:r>
          </w:p>
        </w:tc>
        <w:tc>
          <w:tcPr>
            <w:tcW w:type="dxa" w:w="4986"/>
          </w:tcPr>
          <w:p>
            <w:pPr>
              <w:spacing w:after="40"/>
            </w:pPr>
            <w:r>
              <w:rPr>
                <w:sz w:val="19"/>
              </w:rPr>
            </w:r>
            <w:r>
              <w:rPr>
                <w:b w:val="0"/>
                <w:i w:val="0"/>
                <w:sz w:val="19"/>
              </w:rPr>
              <w:t>Report for a customer, choose the period, download the PDF</w:t>
            </w:r>
          </w:p>
        </w:tc>
      </w:tr>
      <w:tr>
        <w:tc>
          <w:tcPr>
            <w:tcW w:type="dxa" w:w="4986"/>
          </w:tcPr>
          <w:p>
            <w:pPr>
              <w:spacing w:after="40"/>
            </w:pPr>
            <w:r>
              <w:rPr>
                <w:sz w:val="19"/>
              </w:rPr>
            </w:r>
            <w:r>
              <w:rPr>
                <w:b w:val="0"/>
                <w:i w:val="0"/>
                <w:sz w:val="19"/>
              </w:rPr>
              <w:t>Answer a billing question</w:t>
            </w:r>
          </w:p>
        </w:tc>
        <w:tc>
          <w:tcPr>
            <w:tcW w:type="dxa" w:w="4986"/>
          </w:tcPr>
          <w:p>
            <w:pPr>
              <w:spacing w:after="40"/>
            </w:pPr>
            <w:r>
              <w:rPr>
                <w:sz w:val="19"/>
              </w:rPr>
            </w:r>
            <w:r>
              <w:rPr>
                <w:b w:val="0"/>
                <w:i w:val="0"/>
                <w:sz w:val="19"/>
              </w:rPr>
              <w:t>Deposits, filtered to the customer</w:t>
            </w:r>
          </w:p>
        </w:tc>
      </w:tr>
      <w:tr>
        <w:tc>
          <w:tcPr>
            <w:tcW w:type="dxa" w:w="4986"/>
          </w:tcPr>
          <w:p>
            <w:pPr>
              <w:spacing w:after="40"/>
            </w:pPr>
            <w:r>
              <w:rPr>
                <w:sz w:val="19"/>
              </w:rPr>
            </w:r>
            <w:r>
              <w:rPr>
                <w:b w:val="0"/>
                <w:i w:val="0"/>
                <w:sz w:val="19"/>
              </w:rPr>
              <w:t>Give them their own login</w:t>
            </w:r>
          </w:p>
        </w:tc>
        <w:tc>
          <w:tcPr>
            <w:tcW w:type="dxa" w:w="4986"/>
          </w:tcPr>
          <w:p>
            <w:pPr>
              <w:spacing w:after="40"/>
            </w:pPr>
            <w:r>
              <w:rPr>
                <w:sz w:val="19"/>
              </w:rPr>
            </w:r>
            <w:r>
              <w:rPr>
                <w:b w:val="0"/>
                <w:i w:val="0"/>
                <w:sz w:val="19"/>
              </w:rPr>
              <w:t>Their customer page, Invite as an organisation</w:t>
            </w:r>
          </w:p>
        </w:tc>
      </w:tr>
    </w:tbl>
    <w:p>
      <w:pPr>
        <w:spacing w:after="80"/>
      </w:pPr>
    </w:p>
    <w:p>
      <w:pPr>
        <w:pStyle w:val="Heading2"/>
        <w:spacing w:after="80" w:before="0"/>
      </w:pPr>
      <w:r>
        <w:rPr>
          <w:b w:val="0"/>
          <w:i w:val="0"/>
        </w:rPr>
        <w:t>If something goes wrong</w:t>
      </w:r>
    </w:p>
    <w:tbl>
      <w:tblPr>
        <w:tblStyle w:val="TableGrid"/>
        <w:tblW w:type="auto" w:w="0"/>
        <w:jc w:val="left"/>
        <w:tblLook w:firstColumn="1" w:firstRow="1" w:lastColumn="0" w:lastRow="0" w:noHBand="0" w:noVBand="1" w:val="04A0"/>
      </w:tblPr>
      <w:tblGrid>
        <w:gridCol w:w="4986"/>
        <w:gridCol w:w="4986"/>
      </w:tblGrid>
      <w:tr>
        <w:tc>
          <w:tcPr>
            <w:tcW w:type="dxa" w:w="4986"/>
            <w:shd w:val="clear" w:fill="EAE7DE"/>
          </w:tcPr>
          <w:p>
            <w:pPr>
              <w:spacing w:after="40"/>
            </w:pPr>
            <w:r>
              <w:rPr>
                <w:sz w:val="19"/>
              </w:rPr>
            </w:r>
            <w:r>
              <w:rPr>
                <w:b/>
                <w:i w:val="0"/>
                <w:sz w:val="19"/>
              </w:rPr>
              <w:t>What you see</w:t>
            </w:r>
          </w:p>
        </w:tc>
        <w:tc>
          <w:tcPr>
            <w:tcW w:type="dxa" w:w="4986"/>
            <w:shd w:val="clear" w:fill="EAE7DE"/>
          </w:tcPr>
          <w:p>
            <w:pPr>
              <w:spacing w:after="40"/>
            </w:pPr>
            <w:r>
              <w:rPr>
                <w:sz w:val="19"/>
              </w:rPr>
            </w:r>
            <w:r>
              <w:rPr>
                <w:b/>
                <w:i w:val="0"/>
                <w:sz w:val="19"/>
              </w:rPr>
              <w:t>What it means, and what to do</w:t>
            </w:r>
          </w:p>
        </w:tc>
      </w:tr>
      <w:tr>
        <w:tc>
          <w:tcPr>
            <w:tcW w:type="dxa" w:w="4986"/>
          </w:tcPr>
          <w:p>
            <w:pPr>
              <w:spacing w:after="40"/>
            </w:pPr>
            <w:r>
              <w:rPr>
                <w:sz w:val="19"/>
              </w:rPr>
            </w:r>
            <w:r>
              <w:rPr>
                <w:b/>
                <w:i w:val="0"/>
                <w:sz w:val="19"/>
              </w:rPr>
              <w:t>Can't reach Clariq</w:t>
            </w:r>
          </w:p>
        </w:tc>
        <w:tc>
          <w:tcPr>
            <w:tcW w:type="dxa" w:w="4986"/>
          </w:tcPr>
          <w:p>
            <w:pPr>
              <w:spacing w:after="40"/>
            </w:pPr>
            <w:r>
              <w:rPr>
                <w:sz w:val="19"/>
              </w:rPr>
            </w:r>
            <w:r>
              <w:rPr>
                <w:b w:val="0"/>
                <w:i w:val="0"/>
                <w:sz w:val="19"/>
              </w:rPr>
              <w:t>No phone signal where you are standing. Nothing was recorded and nothing was lost. Move to where you have signal and tap again.</w:t>
            </w:r>
          </w:p>
        </w:tc>
      </w:tr>
      <w:tr>
        <w:tc>
          <w:tcPr>
            <w:tcW w:type="dxa" w:w="4986"/>
          </w:tcPr>
          <w:p>
            <w:pPr>
              <w:spacing w:after="40"/>
            </w:pPr>
            <w:r>
              <w:rPr>
                <w:sz w:val="19"/>
              </w:rPr>
            </w:r>
            <w:r>
              <w:rPr>
                <w:b/>
                <w:i w:val="0"/>
                <w:sz w:val="19"/>
              </w:rPr>
              <w:t>The sign in link does not work</w:t>
            </w:r>
          </w:p>
        </w:tc>
        <w:tc>
          <w:tcPr>
            <w:tcW w:type="dxa" w:w="4986"/>
          </w:tcPr>
          <w:p>
            <w:pPr>
              <w:spacing w:after="40"/>
            </w:pPr>
            <w:r>
              <w:rPr>
                <w:sz w:val="19"/>
              </w:rPr>
            </w:r>
            <w:r>
              <w:rPr>
                <w:b w:val="0"/>
                <w:i w:val="0"/>
                <w:sz w:val="19"/>
              </w:rPr>
              <w:t>It has expired or has been used. Ask for another. Links are single use on purpose.</w:t>
            </w:r>
          </w:p>
        </w:tc>
      </w:tr>
      <w:tr>
        <w:tc>
          <w:tcPr>
            <w:tcW w:type="dxa" w:w="4986"/>
          </w:tcPr>
          <w:p>
            <w:pPr>
              <w:spacing w:after="40"/>
            </w:pPr>
            <w:r>
              <w:rPr>
                <w:sz w:val="19"/>
              </w:rPr>
            </w:r>
            <w:r>
              <w:rPr>
                <w:b/>
                <w:i w:val="0"/>
                <w:sz w:val="19"/>
              </w:rPr>
              <w:t>The button I want is not there</w:t>
            </w:r>
          </w:p>
        </w:tc>
        <w:tc>
          <w:tcPr>
            <w:tcW w:type="dxa" w:w="4986"/>
          </w:tcPr>
          <w:p>
            <w:pPr>
              <w:spacing w:after="40"/>
            </w:pPr>
            <w:r>
              <w:rPr>
                <w:sz w:val="19"/>
              </w:rPr>
            </w:r>
            <w:r>
              <w:rPr>
                <w:b w:val="0"/>
                <w:i w:val="0"/>
                <w:sz w:val="19"/>
              </w:rPr>
              <w:t>That step does not make sense for this container yet. The buttons you see are always the ones that are allowed right now.</w:t>
            </w:r>
          </w:p>
        </w:tc>
      </w:tr>
    </w:tbl>
    <w:p>
      <w:pPr>
        <w:spacing w:after="80"/>
      </w:pPr>
    </w:p>
    <w:tbl>
      <w:tblPr>
        <w:tblW w:type="auto" w:w="0"/>
        <w:jc w:val="left"/>
        <w:tblLook w:firstColumn="1" w:firstRow="1" w:lastColumn="0" w:lastRow="0" w:noHBand="0" w:noVBand="1" w:val="04A0"/>
        <w:tblBorders>
          <w:top w:val="nil"/>
          <w:left w:val="nil"/>
          <w:bottom w:val="nil"/>
          <w:right w:val="nil"/>
          <w:insideH w:val="nil"/>
          <w:insideV w:val="nil"/>
        </w:tblBorders>
      </w:tblPr>
      <w:tblGrid>
        <w:gridCol w:w="9972"/>
      </w:tblGrid>
      <w:tr>
        <w:tc>
          <w:tcPr>
            <w:tcW w:type="dxa" w:w="9972"/>
            <w:shd w:val="clear" w:fill="FFFFFF"/>
          </w:tcPr>
          <w:p>
            <w:pPr>
              <w:spacing w:after="60"/>
            </w:pPr>
            <w:r>
              <w:rPr>
                <w:sz w:val="22"/>
              </w:rPr>
            </w:r>
            <w:r>
              <w:rPr>
                <w:b/>
                <w:i w:val="0"/>
                <w:sz w:val="22"/>
              </w:rPr>
              <w:t>The ? on every screen</w:t>
            </w:r>
          </w:p>
          <w:p>
            <w:pPr>
              <w:spacing w:after="60"/>
            </w:pPr>
            <w:r>
              <w:rPr>
                <w:b w:val="0"/>
                <w:i w:val="0"/>
                <w:sz w:val="20"/>
              </w:rPr>
              <w:t>Top right of the title. It opens the help for that exact screen, not a search box.</w:t>
            </w:r>
          </w:p>
        </w:tc>
      </w:tr>
    </w:tbl>
    <w:p>
      <w:pPr>
        <w:spacing w:after="80"/>
      </w:pPr>
    </w:p>
    <w:tbl>
      <w:tblPr>
        <w:tblW w:type="auto" w:w="0"/>
        <w:jc w:val="left"/>
        <w:tblLook w:firstColumn="1" w:firstRow="1" w:lastColumn="0" w:lastRow="0" w:noHBand="0" w:noVBand="1" w:val="04A0"/>
        <w:tblBorders>
          <w:top w:val="nil"/>
          <w:left w:val="nil"/>
          <w:bottom w:val="nil"/>
          <w:right w:val="nil"/>
          <w:insideH w:val="nil"/>
          <w:insideV w:val="nil"/>
        </w:tblBorders>
      </w:tblPr>
      <w:tblGrid>
        <w:gridCol w:w="9972"/>
      </w:tblGrid>
      <w:tr>
        <w:tc>
          <w:tcPr>
            <w:tcW w:type="dxa" w:w="9972"/>
            <w:shd w:val="clear" w:fill="FFFFFF"/>
          </w:tcPr>
          <w:p>
            <w:pPr>
              <w:spacing w:after="60"/>
            </w:pPr>
            <w:r>
              <w:rPr>
                <w:sz w:val="22"/>
              </w:rPr>
            </w:r>
            <w:r>
              <w:rPr>
                <w:b/>
                <w:i w:val="0"/>
                <w:sz w:val="22"/>
              </w:rPr>
              <w:t>Ask Clariq</w:t>
            </w:r>
          </w:p>
          <w:p>
            <w:pPr>
              <w:spacing w:after="60"/>
            </w:pPr>
            <w:r>
              <w:rPr>
                <w:b w:val="0"/>
                <w:i w:val="0"/>
                <w:sz w:val="20"/>
              </w:rPr>
              <w:t>Type a question the way you would say it: "how do I print labels". You get the steps and a button that takes you there.</w:t>
            </w:r>
          </w:p>
        </w:tc>
      </w:tr>
    </w:tbl>
    <w:p>
      <w:pPr>
        <w:spacing w:after="80"/>
      </w:pPr>
    </w:p>
    <w:tbl>
      <w:tblPr>
        <w:tblW w:type="auto" w:w="0"/>
        <w:jc w:val="left"/>
        <w:tblLook w:firstColumn="1" w:firstRow="1" w:lastColumn="0" w:lastRow="0" w:noHBand="0" w:noVBand="1" w:val="04A0"/>
        <w:tblBorders>
          <w:top w:val="nil"/>
          <w:left w:val="nil"/>
          <w:bottom w:val="nil"/>
          <w:right w:val="nil"/>
          <w:insideH w:val="nil"/>
          <w:insideV w:val="nil"/>
        </w:tblBorders>
      </w:tblPr>
      <w:tblGrid>
        <w:gridCol w:w="9972"/>
      </w:tblGrid>
      <w:tr>
        <w:tc>
          <w:tcPr>
            <w:tcW w:type="dxa" w:w="9972"/>
            <w:shd w:val="clear" w:fill="E7F5F1"/>
            <w:tcBorders>
              <w:left w:val="single" w:sz="24" w:color="009E73"/>
            </w:tcBorders>
          </w:tcPr>
          <w:p>
            <w:pPr>
              <w:spacing w:after="60"/>
            </w:pPr>
            <w:r>
              <w:rPr>
                <w:sz w:val="20"/>
              </w:rPr>
            </w:r>
            <w:r>
              <w:rPr>
                <w:b/>
                <w:i w:val="0"/>
                <w:sz w:val="20"/>
              </w:rPr>
              <w:t>Dates are written day first</w:t>
            </w:r>
            <w:r>
              <w:rPr>
                <w:b w:val="0"/>
                <w:i w:val="0"/>
                <w:sz w:val="20"/>
              </w:rPr>
              <w:t xml:space="preserve"> throughout, for example 12-09-2026, and every export to Excel carries real dates so they sort properly.</w:t>
            </w:r>
          </w:p>
        </w:tc>
      </w:tr>
    </w:tbl>
    <w:sectPr w:rsidR="00FC693F" w:rsidRPr="0006063C" w:rsidSect="00034616">
      <w:footerReference w:type="default" r:id="rId9"/>
      <w:pgSz w:w="12240" w:h="15840"/>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
      <w:rPr>
        <w:color w:val="6B6B64"/>
        <w:sz w:val="16"/>
      </w:rPr>
      <w:t xml:space="preserve">Clariq for account managers  |  Clariq, app v0.7.43, 14-09-2026  |  page     </w:t>
    </w:r>
    <w:fldSimple w:instr="PAGE">
      <w:r>
        <w:rPr>
          <w:sz w:val="16"/>
        </w:rPr>
        <w:t>1</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D1D1B"/>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D1D1B"/>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8E7647"/>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b/>
      <w:color w:val="1D1D1B"/>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