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drawing>
          <wp:inline xmlns:a="http://schemas.openxmlformats.org/drawingml/2006/main" xmlns:pic="http://schemas.openxmlformats.org/drawingml/2006/picture">
            <wp:extent cx="792000" cy="792000"/>
            <wp:docPr id="1" name="Picture 1"/>
            <wp:cNvGraphicFramePr>
              <a:graphicFrameLocks noChangeAspect="1"/>
            </wp:cNvGraphicFramePr>
            <a:graphic>
              <a:graphicData uri="http://schemas.openxmlformats.org/drawingml/2006/picture">
                <pic:pic>
                  <pic:nvPicPr>
                    <pic:cNvPr id="0" name="mark.png"/>
                    <pic:cNvPicPr/>
                  </pic:nvPicPr>
                  <pic:blipFill>
                    <a:blip r:embed="rId10"/>
                    <a:stretch>
                      <a:fillRect/>
                    </a:stretch>
                  </pic:blipFill>
                  <pic:spPr>
                    <a:xfrm>
                      <a:off x="0" y="0"/>
                      <a:ext cx="792000" cy="792000"/>
                    </a:xfrm>
                    <a:prstGeom prst="rect"/>
                  </pic:spPr>
                </pic:pic>
              </a:graphicData>
            </a:graphic>
          </wp:inline>
        </w:drawing>
      </w:r>
    </w:p>
    <w:p>
      <w:pPr>
        <w:pStyle w:val="Title"/>
        <w:spacing w:after="160" w:before="0"/>
      </w:pPr>
      <w:r>
        <w:rPr>
          <w:b w:val="0"/>
          <w:i w:val="0"/>
        </w:rPr>
        <w:t>Looking at your containers</w:t>
      </w:r>
    </w:p>
    <w:p>
      <w:pPr>
        <w:spacing w:after="160" w:before="0"/>
      </w:pPr>
      <w:r>
        <w:rPr>
          <w:b w:val="0"/>
          <w:i w:val="0"/>
          <w:sz w:val="26"/>
        </w:rPr>
        <w:t>Your supplier tracks the containers they send you, and this is your window into that record. You can see what you are holding, what is due back, and what it adds up to over a year. You do not have to maintain anything.</w:t>
      </w:r>
    </w:p>
    <w:tbl>
      <w:tblPr>
        <w:tblStyle w:val="TableGrid"/>
        <w:tblW w:type="auto" w:w="0"/>
        <w:tblLook w:firstColumn="1" w:firstRow="1" w:lastColumn="0" w:lastRow="0" w:noHBand="0" w:noVBand="1" w:val="04A0"/>
      </w:tblPr>
      <w:tblGrid>
        <w:gridCol w:w="4986"/>
        <w:gridCol w:w="4986"/>
      </w:tblGrid>
      <w:tr>
        <w:tc>
          <w:tcPr>
            <w:tcW w:type="dxa" w:w="4986"/>
            <w:shd w:val="clear" w:fill="F4F2EC"/>
          </w:tcPr>
          <w:p>
            <w:r>
              <w:rPr>
                <w:sz w:val="19"/>
              </w:rPr>
            </w:r>
            <w:r>
              <w:rPr>
                <w:b/>
                <w:i w:val="0"/>
                <w:sz w:val="19"/>
              </w:rPr>
              <w:t>Who this is for</w:t>
            </w:r>
          </w:p>
        </w:tc>
        <w:tc>
          <w:tcPr>
            <w:tcW w:type="dxa" w:w="4986"/>
          </w:tcPr>
          <w:p>
            <w:r>
              <w:rPr>
                <w:sz w:val="19"/>
              </w:rPr>
            </w:r>
            <w:r>
              <w:rPr>
                <w:b w:val="0"/>
                <w:i w:val="0"/>
                <w:sz w:val="19"/>
              </w:rPr>
              <w:t>Customers with a view only login from their supplier</w:t>
            </w:r>
          </w:p>
        </w:tc>
      </w:tr>
      <w:tr>
        <w:tc>
          <w:tcPr>
            <w:tcW w:type="dxa" w:w="4986"/>
            <w:shd w:val="clear" w:fill="F4F2EC"/>
          </w:tcPr>
          <w:p>
            <w:r>
              <w:rPr>
                <w:sz w:val="19"/>
              </w:rPr>
            </w:r>
            <w:r>
              <w:rPr>
                <w:b/>
                <w:i w:val="0"/>
                <w:sz w:val="19"/>
              </w:rPr>
              <w:t>Reading time</w:t>
            </w:r>
          </w:p>
        </w:tc>
        <w:tc>
          <w:tcPr>
            <w:tcW w:type="dxa" w:w="4986"/>
          </w:tcPr>
          <w:p>
            <w:r>
              <w:rPr>
                <w:sz w:val="19"/>
              </w:rPr>
            </w:r>
            <w:r>
              <w:rPr>
                <w:b w:val="0"/>
                <w:i w:val="0"/>
                <w:sz w:val="19"/>
              </w:rPr>
              <w:t>Five minutes</w:t>
            </w:r>
          </w:p>
        </w:tc>
      </w:tr>
      <w:tr>
        <w:tc>
          <w:tcPr>
            <w:tcW w:type="dxa" w:w="4986"/>
            <w:shd w:val="clear" w:fill="F4F2EC"/>
          </w:tcPr>
          <w:p>
            <w:r>
              <w:rPr>
                <w:sz w:val="19"/>
              </w:rPr>
            </w:r>
            <w:r>
              <w:rPr>
                <w:b/>
                <w:i w:val="0"/>
                <w:sz w:val="19"/>
              </w:rPr>
              <w:t>What you need</w:t>
            </w:r>
          </w:p>
        </w:tc>
        <w:tc>
          <w:tcPr>
            <w:tcW w:type="dxa" w:w="4986"/>
          </w:tcPr>
          <w:p>
            <w:r>
              <w:rPr>
                <w:sz w:val="19"/>
              </w:rPr>
            </w:r>
            <w:r>
              <w:rPr>
                <w:b w:val="0"/>
                <w:i w:val="0"/>
                <w:sz w:val="19"/>
              </w:rPr>
              <w:t>A phone or a laptop, and the email address your supplier used</w:t>
            </w:r>
          </w:p>
        </w:tc>
      </w:tr>
      <w:tr>
        <w:tc>
          <w:tcPr>
            <w:tcW w:type="dxa" w:w="4986"/>
            <w:shd w:val="clear" w:fill="F4F2EC"/>
          </w:tcPr>
          <w:p>
            <w:r>
              <w:rPr>
                <w:sz w:val="19"/>
              </w:rPr>
            </w:r>
            <w:r>
              <w:rPr>
                <w:b/>
                <w:i w:val="0"/>
                <w:sz w:val="19"/>
              </w:rPr>
              <w:t>What it costs you</w:t>
            </w:r>
          </w:p>
        </w:tc>
        <w:tc>
          <w:tcPr>
            <w:tcW w:type="dxa" w:w="4986"/>
          </w:tcPr>
          <w:p>
            <w:r>
              <w:rPr>
                <w:sz w:val="19"/>
              </w:rPr>
            </w:r>
            <w:r>
              <w:rPr>
                <w:b w:val="0"/>
                <w:i w:val="0"/>
                <w:sz w:val="19"/>
              </w:rPr>
              <w:t>Nothing to keep up to date. It is read only</w:t>
            </w:r>
          </w:p>
        </w:tc>
      </w:tr>
    </w:tbl>
    <w:p>
      <w:pPr>
        <w:spacing w:after="80"/>
      </w:pPr>
    </w:p>
    <w:p>
      <w:pPr>
        <w:pStyle w:val="Heading2"/>
        <w:spacing w:after="80" w:before="0"/>
      </w:pPr>
      <w:r>
        <w:rPr>
          <w:b w:val="0"/>
          <w:i w:val="0"/>
        </w:rPr>
        <w:t>What you can see</w:t>
      </w:r>
    </w:p>
    <w:p>
      <w:pPr>
        <w:spacing w:after="160"/>
        <w:jc w:val="left"/>
      </w:pPr>
      <w:r>
        <w:drawing>
          <wp:inline xmlns:a="http://schemas.openxmlformats.org/drawingml/2006/main" xmlns:pic="http://schemas.openxmlformats.org/drawingml/2006/picture">
            <wp:extent cx="5940000" cy="740297"/>
            <wp:docPr id="2" name="Picture 2"/>
            <wp:cNvGraphicFramePr>
              <a:graphicFrameLocks noChangeAspect="1"/>
            </wp:cNvGraphicFramePr>
            <a:graphic>
              <a:graphicData uri="http://schemas.openxmlformats.org/drawingml/2006/picture">
                <pic:pic>
                  <pic:nvPicPr>
                    <pic:cNvPr id="0" name="Clariq_Guide_8_Customer_View_Only_0.png"/>
                    <pic:cNvPicPr/>
                  </pic:nvPicPr>
                  <pic:blipFill>
                    <a:blip r:embed="rId11"/>
                    <a:stretch>
                      <a:fillRect/>
                    </a:stretch>
                  </pic:blipFill>
                  <pic:spPr>
                    <a:xfrm>
                      <a:off x="0" y="0"/>
                      <a:ext cx="5940000" cy="740297"/>
                    </a:xfrm>
                    <a:prstGeom prst="rect"/>
                  </pic:spPr>
                </pic:pic>
              </a:graphicData>
            </a:graphic>
          </wp:inline>
        </w:drawing>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EAF3F9"/>
            <w:tcBorders>
              <w:left w:val="single" w:sz="24" w:color="0072B2"/>
            </w:tcBorders>
          </w:tcPr>
          <w:p>
            <w:pPr>
              <w:spacing w:after="60"/>
            </w:pPr>
            <w:r>
              <w:rPr>
                <w:sz w:val="20"/>
              </w:rPr>
            </w:r>
            <w:r>
              <w:rPr>
                <w:b/>
                <w:i w:val="0"/>
                <w:sz w:val="20"/>
              </w:rPr>
              <w:t>You see your own line and nothing else.</w:t>
            </w:r>
            <w:r>
              <w:rPr>
                <w:b w:val="0"/>
                <w:i w:val="0"/>
                <w:sz w:val="20"/>
              </w:rPr>
              <w:t xml:space="preserve"> Not other customers, not your supplier's other work, and not the container's life before or after it was with you.</w:t>
            </w:r>
          </w:p>
        </w:tc>
      </w:tr>
    </w:tbl>
    <w:p>
      <w:pPr>
        <w:spacing w:after="80"/>
      </w:pPr>
    </w:p>
    <w:p>
      <w:r>
        <w:br w:type="page"/>
      </w:r>
    </w:p>
    <w:p>
      <w:pPr>
        <w:pStyle w:val="Heading1"/>
        <w:spacing w:after="120" w:before="0"/>
      </w:pPr>
      <w:r>
        <w:rPr>
          <w:b w:val="0"/>
          <w:i w:val="0"/>
        </w:rPr>
        <w:t>Your home screen</w:t>
      </w:r>
    </w:p>
    <w:p>
      <w:pPr>
        <w:spacing w:after="160"/>
        <w:jc w:val="left"/>
      </w:pPr>
      <w:r>
        <w:drawing>
          <wp:inline xmlns:a="http://schemas.openxmlformats.org/drawingml/2006/main" xmlns:pic="http://schemas.openxmlformats.org/drawingml/2006/picture">
            <wp:extent cx="5940000" cy="3287270"/>
            <wp:docPr id="3" name="Picture 3"/>
            <wp:cNvGraphicFramePr>
              <a:graphicFrameLocks noChangeAspect="1"/>
            </wp:cNvGraphicFramePr>
            <a:graphic>
              <a:graphicData uri="http://schemas.openxmlformats.org/drawingml/2006/picture">
                <pic:pic>
                  <pic:nvPicPr>
                    <pic:cNvPr id="0" name="Clariq_Guide_8_Customer_View_Only_1.png"/>
                    <pic:cNvPicPr/>
                  </pic:nvPicPr>
                  <pic:blipFill>
                    <a:blip r:embed="rId12"/>
                    <a:stretch>
                      <a:fillRect/>
                    </a:stretch>
                  </pic:blipFill>
                  <pic:spPr>
                    <a:xfrm>
                      <a:off x="0" y="0"/>
                      <a:ext cx="5940000" cy="3287270"/>
                    </a:xfrm>
                    <a:prstGeom prst="rect"/>
                  </pic:spPr>
                </pic:pic>
              </a:graphicData>
            </a:graphic>
          </wp:inline>
        </w:drawing>
      </w:r>
    </w:p>
    <w:p>
      <w:pPr>
        <w:pStyle w:val="Heading2"/>
        <w:spacing w:after="80" w:before="0"/>
      </w:pPr>
      <w:r>
        <w:rPr>
          <w:b w:val="0"/>
          <w:i w:val="0"/>
        </w:rPr>
        <w:t>Signing in, once</w:t>
      </w:r>
    </w:p>
    <w:p>
      <w:pPr>
        <w:spacing w:after="40" w:before="120"/>
      </w:pPr>
      <w:r>
        <w:rPr>
          <w:b/>
          <w:color w:val="8E7647"/>
          <w:sz w:val="23"/>
        </w:rPr>
        <w:t xml:space="preserve">1. </w:t>
      </w:r>
      <w:r>
        <w:rPr>
          <w:b/>
          <w:i w:val="0"/>
          <w:sz w:val="23"/>
        </w:rPr>
        <w:t>Open clariq-hub.netlify.app in your phone browser</w:t>
      </w:r>
    </w:p>
    <w:p>
      <w:pPr>
        <w:spacing w:after="60" w:before="0"/>
        <w:ind w:left="340"/>
      </w:pPr>
      <w:r>
        <w:rPr>
          <w:b w:val="0"/>
          <w:i w:val="0"/>
          <w:sz w:val="21"/>
        </w:rPr>
        <w:t xml:space="preserve">Type </w:t>
      </w:r>
      <w:r>
        <w:rPr>
          <w:rFonts w:ascii="Consolas" w:hAnsi="Consolas"/>
          <w:b w:val="0"/>
          <w:i w:val="0"/>
          <w:sz w:val="21"/>
        </w:rPr>
        <w:t>clariq-hub.netlify.app</w:t>
      </w:r>
      <w:r>
        <w:rPr>
          <w:b w:val="0"/>
          <w:i w:val="0"/>
          <w:sz w:val="21"/>
        </w:rPr>
        <w:t xml:space="preserve"> into Safari or Chrome. There is nothing to install.</w:t>
      </w:r>
    </w:p>
    <w:p>
      <w:pPr>
        <w:spacing w:after="40" w:before="120"/>
      </w:pPr>
      <w:r>
        <w:rPr>
          <w:b/>
          <w:color w:val="8E7647"/>
          <w:sz w:val="23"/>
        </w:rPr>
        <w:t xml:space="preserve">2. </w:t>
      </w:r>
      <w:r>
        <w:rPr>
          <w:b/>
          <w:i w:val="0"/>
          <w:sz w:val="23"/>
        </w:rPr>
        <w:t>Type your work email address, tap Send me a link</w:t>
      </w:r>
    </w:p>
    <w:p>
      <w:pPr>
        <w:spacing w:after="60" w:before="0"/>
        <w:ind w:left="340"/>
      </w:pPr>
      <w:r>
        <w:rPr>
          <w:b w:val="0"/>
          <w:i w:val="0"/>
          <w:sz w:val="21"/>
        </w:rPr>
        <w:t>There is no password to remember. Clariq emails you a link that signs you in.</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F4F2EC"/>
          </w:tcPr>
          <w:p>
            <w:r/>
            <w:r>
              <w:rPr>
                <w:b/>
                <w:i w:val="0"/>
              </w:rPr>
              <w:t>No email after a minute?</w:t>
            </w:r>
            <w:r>
              <w:rPr>
                <w:b w:val="0"/>
                <w:i w:val="0"/>
              </w:rPr>
              <w:t xml:space="preserve"> Look in junk mail. The sender is Clariq.</w:t>
            </w:r>
          </w:p>
        </w:tc>
      </w:tr>
    </w:tbl>
    <w:p>
      <w:pPr>
        <w:spacing w:after="80"/>
      </w:pPr>
    </w:p>
    <w:p>
      <w:pPr>
        <w:spacing w:after="40" w:before="120"/>
      </w:pPr>
      <w:r>
        <w:rPr>
          <w:b/>
          <w:color w:val="8E7647"/>
          <w:sz w:val="23"/>
        </w:rPr>
        <w:t xml:space="preserve">3. </w:t>
      </w:r>
      <w:r>
        <w:rPr>
          <w:b/>
          <w:i w:val="0"/>
          <w:sz w:val="23"/>
        </w:rPr>
        <w:t>Add Clariq to your home screen</w:t>
      </w:r>
    </w:p>
    <w:p>
      <w:pPr>
        <w:spacing w:after="60" w:before="0"/>
        <w:ind w:left="340"/>
      </w:pPr>
      <w:r>
        <w:rPr>
          <w:b w:val="0"/>
          <w:i w:val="0"/>
          <w:sz w:val="21"/>
        </w:rPr>
        <w:t xml:space="preserve">iPhone: share button, then </w:t>
      </w:r>
      <w:r>
        <w:rPr>
          <w:b/>
          <w:i w:val="0"/>
          <w:sz w:val="21"/>
        </w:rPr>
        <w:t>Add to Home Screen</w:t>
      </w:r>
      <w:r>
        <w:rPr>
          <w:b w:val="0"/>
          <w:i w:val="0"/>
          <w:sz w:val="21"/>
        </w:rPr>
        <w:t xml:space="preserve">. Android: three dots, then </w:t>
      </w:r>
      <w:r>
        <w:rPr>
          <w:b/>
          <w:i w:val="0"/>
          <w:sz w:val="21"/>
        </w:rPr>
        <w:t>Install app</w:t>
      </w:r>
      <w:r>
        <w:rPr>
          <w:b w:val="0"/>
          <w:i w:val="0"/>
          <w:sz w:val="21"/>
        </w:rPr>
        <w:t>. After that it is one tap, and you stay signed in for 30 days.</w:t>
      </w:r>
    </w:p>
    <w:p>
      <w:r>
        <w:br w:type="page"/>
      </w:r>
    </w:p>
    <w:p>
      <w:pPr>
        <w:pStyle w:val="Heading1"/>
        <w:spacing w:after="120" w:before="0"/>
      </w:pPr>
      <w:r>
        <w:rPr>
          <w:b w:val="0"/>
          <w:i w:val="0"/>
        </w:rPr>
        <w:t>What you can do, and what you cannot</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FFFFFF"/>
          </w:tcPr>
          <w:p>
            <w:pPr>
              <w:spacing w:after="60"/>
            </w:pPr>
            <w:r>
              <w:rPr>
                <w:sz w:val="22"/>
              </w:rPr>
            </w:r>
            <w:r>
              <w:rPr>
                <w:b/>
                <w:i w:val="0"/>
                <w:sz w:val="22"/>
              </w:rPr>
              <w:t>✓ You can</w:t>
            </w:r>
          </w:p>
          <w:p>
            <w:pPr>
              <w:spacing w:after="60"/>
              <w:ind w:left="283"/>
            </w:pPr>
            <w:r>
              <w:rPr>
                <w:b w:val="0"/>
                <w:i w:val="0"/>
                <w:sz w:val="20"/>
              </w:rPr>
              <w:t>• See every container your supplier has out with you</w:t>
            </w:r>
          </w:p>
          <w:p>
            <w:pPr>
              <w:spacing w:after="60"/>
              <w:ind w:left="283"/>
            </w:pPr>
            <w:r>
              <w:rPr>
                <w:b w:val="0"/>
                <w:i w:val="0"/>
                <w:sz w:val="20"/>
              </w:rPr>
              <w:t>• See what is in each one, and open its safety data sheet</w:t>
            </w:r>
          </w:p>
          <w:p>
            <w:pPr>
              <w:spacing w:after="60"/>
              <w:ind w:left="283"/>
            </w:pPr>
            <w:r>
              <w:rPr>
                <w:b w:val="0"/>
                <w:i w:val="0"/>
                <w:sz w:val="20"/>
              </w:rPr>
              <w:t>• See what is due back and when</w:t>
            </w:r>
          </w:p>
          <w:p>
            <w:pPr>
              <w:spacing w:after="60"/>
              <w:ind w:left="283"/>
            </w:pPr>
            <w:r>
              <w:rPr>
                <w:b w:val="0"/>
                <w:i w:val="0"/>
                <w:sz w:val="20"/>
              </w:rPr>
              <w:t>• Run your report for any period and download it as PDF or Excel</w:t>
            </w:r>
          </w:p>
        </w:tc>
      </w:tr>
    </w:tbl>
    <w:p>
      <w:pPr>
        <w:spacing w:after="8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FFFFFF"/>
          </w:tcPr>
          <w:p>
            <w:pPr>
              <w:spacing w:after="60"/>
            </w:pPr>
            <w:r>
              <w:rPr>
                <w:sz w:val="22"/>
              </w:rPr>
            </w:r>
            <w:r>
              <w:rPr>
                <w:b/>
                <w:i w:val="0"/>
                <w:sz w:val="22"/>
              </w:rPr>
              <w:t>✗ You cannot</w:t>
            </w:r>
          </w:p>
          <w:p>
            <w:pPr>
              <w:spacing w:after="60"/>
              <w:ind w:left="283"/>
            </w:pPr>
            <w:r>
              <w:rPr>
                <w:b w:val="0"/>
                <w:i w:val="0"/>
                <w:sz w:val="20"/>
              </w:rPr>
              <w:t>• Record that something arrived or is empty. That needs the fuller account, which your supplier can set up for you</w:t>
            </w:r>
          </w:p>
          <w:p>
            <w:pPr>
              <w:spacing w:after="60"/>
              <w:ind w:left="283"/>
            </w:pPr>
            <w:r>
              <w:rPr>
                <w:b w:val="0"/>
                <w:i w:val="0"/>
                <w:sz w:val="20"/>
              </w:rPr>
              <w:t>• See any other customer's containers</w:t>
            </w:r>
          </w:p>
          <w:p>
            <w:pPr>
              <w:spacing w:after="60"/>
              <w:ind w:left="283"/>
            </w:pPr>
            <w:r>
              <w:rPr>
                <w:b w:val="0"/>
                <w:i w:val="0"/>
                <w:sz w:val="20"/>
              </w:rPr>
              <w:t>• See the container's history before or after it was with you</w:t>
            </w:r>
          </w:p>
          <w:p>
            <w:pPr>
              <w:spacing w:after="60"/>
              <w:ind w:left="283"/>
            </w:pPr>
            <w:r>
              <w:rPr>
                <w:b w:val="0"/>
                <w:i w:val="0"/>
                <w:sz w:val="20"/>
              </w:rPr>
              <w:t>• Change anything. This login is read only</w:t>
            </w:r>
          </w:p>
        </w:tc>
      </w:tr>
    </w:tbl>
    <w:p>
      <w:pPr>
        <w:spacing w:after="8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F4F2EC"/>
          </w:tcPr>
          <w:p>
            <w:pPr>
              <w:spacing w:after="60"/>
            </w:pPr>
            <w:r>
              <w:rPr>
                <w:sz w:val="22"/>
              </w:rPr>
            </w:r>
            <w:r>
              <w:rPr>
                <w:b/>
                <w:i w:val="0"/>
                <w:sz w:val="22"/>
              </w:rPr>
              <w:t>Worth asking your supplier about</w:t>
            </w:r>
          </w:p>
          <w:p>
            <w:pPr>
              <w:spacing w:after="60"/>
            </w:pPr>
            <w:r>
              <w:rPr>
                <w:b w:val="0"/>
                <w:i w:val="0"/>
                <w:sz w:val="20"/>
              </w:rPr>
              <w:t>If your people would rather scan containers in as they arrive, keep their own chemical register by room, and run audit walks, ask your supplier to set your organisation up properly in Clariq. It is the same app, it costs you no new software, and your register then maintains itself.</w:t>
            </w:r>
          </w:p>
        </w:tc>
      </w:tr>
    </w:tbl>
    <w:p>
      <w:pPr>
        <w:spacing w:after="80"/>
      </w:pPr>
    </w:p>
    <w:p>
      <w:pPr>
        <w:pStyle w:val="Heading2"/>
        <w:spacing w:after="80" w:before="0"/>
      </w:pPr>
      <w:r>
        <w:rPr>
          <w:b w:val="0"/>
          <w:i w:val="0"/>
        </w:rPr>
        <w:t>If something goes wrong</w:t>
      </w:r>
    </w:p>
    <w:tbl>
      <w:tblPr>
        <w:tblStyle w:val="TableGrid"/>
        <w:tblW w:type="auto" w:w="0"/>
        <w:jc w:val="left"/>
        <w:tblLook w:firstColumn="1" w:firstRow="1" w:lastColumn="0" w:lastRow="0" w:noHBand="0" w:noVBand="1" w:val="04A0"/>
      </w:tblPr>
      <w:tblGrid>
        <w:gridCol w:w="4986"/>
        <w:gridCol w:w="4986"/>
      </w:tblGrid>
      <w:tr>
        <w:tc>
          <w:tcPr>
            <w:tcW w:type="dxa" w:w="4986"/>
            <w:shd w:val="clear" w:fill="EAE7DE"/>
          </w:tcPr>
          <w:p>
            <w:pPr>
              <w:spacing w:after="40"/>
            </w:pPr>
            <w:r>
              <w:rPr>
                <w:sz w:val="19"/>
              </w:rPr>
            </w:r>
            <w:r>
              <w:rPr>
                <w:b/>
                <w:i w:val="0"/>
                <w:sz w:val="19"/>
              </w:rPr>
              <w:t>What you see</w:t>
            </w:r>
          </w:p>
        </w:tc>
        <w:tc>
          <w:tcPr>
            <w:tcW w:type="dxa" w:w="4986"/>
            <w:shd w:val="clear" w:fill="EAE7DE"/>
          </w:tcPr>
          <w:p>
            <w:pPr>
              <w:spacing w:after="40"/>
            </w:pPr>
            <w:r>
              <w:rPr>
                <w:sz w:val="19"/>
              </w:rPr>
            </w:r>
            <w:r>
              <w:rPr>
                <w:b/>
                <w:i w:val="0"/>
                <w:sz w:val="19"/>
              </w:rPr>
              <w:t>What it means, and what to do</w:t>
            </w:r>
          </w:p>
        </w:tc>
      </w:tr>
      <w:tr>
        <w:tc>
          <w:tcPr>
            <w:tcW w:type="dxa" w:w="4986"/>
          </w:tcPr>
          <w:p>
            <w:pPr>
              <w:spacing w:after="40"/>
            </w:pPr>
            <w:r>
              <w:rPr>
                <w:sz w:val="19"/>
              </w:rPr>
            </w:r>
            <w:r>
              <w:rPr>
                <w:b/>
                <w:i w:val="0"/>
                <w:sz w:val="19"/>
              </w:rPr>
              <w:t>Can't reach Clariq</w:t>
            </w:r>
          </w:p>
        </w:tc>
        <w:tc>
          <w:tcPr>
            <w:tcW w:type="dxa" w:w="4986"/>
          </w:tcPr>
          <w:p>
            <w:pPr>
              <w:spacing w:after="40"/>
            </w:pPr>
            <w:r>
              <w:rPr>
                <w:sz w:val="19"/>
              </w:rPr>
            </w:r>
            <w:r>
              <w:rPr>
                <w:b w:val="0"/>
                <w:i w:val="0"/>
                <w:sz w:val="19"/>
              </w:rPr>
              <w:t>No phone signal where you are standing. Nothing was recorded and nothing was lost. Move to where you have signal and tap again.</w:t>
            </w:r>
          </w:p>
        </w:tc>
      </w:tr>
      <w:tr>
        <w:tc>
          <w:tcPr>
            <w:tcW w:type="dxa" w:w="4986"/>
          </w:tcPr>
          <w:p>
            <w:pPr>
              <w:spacing w:after="40"/>
            </w:pPr>
            <w:r>
              <w:rPr>
                <w:sz w:val="19"/>
              </w:rPr>
            </w:r>
            <w:r>
              <w:rPr>
                <w:b/>
                <w:i w:val="0"/>
                <w:sz w:val="19"/>
              </w:rPr>
              <w:t>The sign in link does not work</w:t>
            </w:r>
          </w:p>
        </w:tc>
        <w:tc>
          <w:tcPr>
            <w:tcW w:type="dxa" w:w="4986"/>
          </w:tcPr>
          <w:p>
            <w:pPr>
              <w:spacing w:after="40"/>
            </w:pPr>
            <w:r>
              <w:rPr>
                <w:sz w:val="19"/>
              </w:rPr>
            </w:r>
            <w:r>
              <w:rPr>
                <w:b w:val="0"/>
                <w:i w:val="0"/>
                <w:sz w:val="19"/>
              </w:rPr>
              <w:t>It has expired or has been used. Ask for another. Links are single use on purpose.</w:t>
            </w:r>
          </w:p>
        </w:tc>
      </w:tr>
    </w:tbl>
    <w:p>
      <w:pPr>
        <w:spacing w:after="8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FFFFFF"/>
          </w:tcPr>
          <w:p>
            <w:pPr>
              <w:spacing w:after="60"/>
            </w:pPr>
            <w:r>
              <w:rPr>
                <w:sz w:val="22"/>
              </w:rPr>
            </w:r>
            <w:r>
              <w:rPr>
                <w:b/>
                <w:i w:val="0"/>
                <w:sz w:val="22"/>
              </w:rPr>
              <w:t>The ? on every screen</w:t>
            </w:r>
          </w:p>
          <w:p>
            <w:pPr>
              <w:spacing w:after="60"/>
            </w:pPr>
            <w:r>
              <w:rPr>
                <w:b w:val="0"/>
                <w:i w:val="0"/>
                <w:sz w:val="20"/>
              </w:rPr>
              <w:t>Top right of the title. It opens the help for that exact screen, not a search box.</w:t>
            </w:r>
          </w:p>
        </w:tc>
      </w:tr>
    </w:tbl>
    <w:p>
      <w:pPr>
        <w:spacing w:after="8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FFFFFF"/>
          </w:tcPr>
          <w:p>
            <w:pPr>
              <w:spacing w:after="60"/>
            </w:pPr>
            <w:r>
              <w:rPr>
                <w:sz w:val="22"/>
              </w:rPr>
            </w:r>
            <w:r>
              <w:rPr>
                <w:b/>
                <w:i w:val="0"/>
                <w:sz w:val="22"/>
              </w:rPr>
              <w:t>Ask Clariq</w:t>
            </w:r>
          </w:p>
          <w:p>
            <w:pPr>
              <w:spacing w:after="60"/>
            </w:pPr>
            <w:r>
              <w:rPr>
                <w:b w:val="0"/>
                <w:i w:val="0"/>
                <w:sz w:val="20"/>
              </w:rPr>
              <w:t>Type a question the way you would say it: "how do I print labels". You get the steps and a button that takes you there.</w:t>
            </w:r>
          </w:p>
        </w:tc>
      </w:tr>
    </w:tbl>
    <w:p>
      <w:pPr>
        <w:spacing w:after="80"/>
      </w:pPr>
    </w:p>
    <w:p>
      <w:r>
        <w:br w:type="page"/>
      </w:r>
    </w:p>
    <w:p>
      <w:pPr>
        <w:pStyle w:val="Heading2"/>
        <w:spacing w:after="80" w:before="0"/>
      </w:pPr>
      <w:r>
        <w:rPr>
          <w:b w:val="0"/>
          <w:i w:val="0"/>
        </w:rPr>
        <w:t>Where your chemicals are listed</w:t>
      </w:r>
    </w:p>
    <w:p>
      <w:pPr>
        <w:spacing w:after="120" w:before="0"/>
      </w:pPr>
      <w:r>
        <w:rPr>
          <w:b w:val="0"/>
          <w:i w:val="0"/>
          <w:sz w:val="21"/>
        </w:rPr>
        <w:t xml:space="preserve">Chemicals on my site opens grouped by chemical, then site, then container size, so you see how much of what before you see any single container. Tap through to reach one.</w:t>
      </w:r>
    </w:p>
    <w:p>
      <w:pPr>
        <w:spacing w:after="120" w:before="0"/>
      </w:pPr>
      <w:r>
        <w:rPr>
          <w:b w:val="0"/>
          <w:i w:val="0"/>
          <w:sz w:val="21"/>
        </w:rPr>
        <w:t xml:space="preserve">Each figure says where it came from: audited with a date, as dispatched, or as recorded. Quantities are what is on hand, so an empty container counts as nothing and is listed on its own line.</w:t>
      </w:r>
    </w:p>
    <w:p>
      <w:pPr>
        <w:spacing w:after="80"/>
      </w:pPr>
    </w:p>
    <w:p>
      <w:pPr>
        <w:pStyle w:val="Heading1"/>
        <w:spacing w:after="120" w:before="0"/>
      </w:pPr>
      <w:r>
        <w:rPr>
          <w:b w:val="0"/>
          <w:i w:val="0"/>
        </w:rPr>
        <w:t>Scanning a container, even without signing in</w:t>
      </w:r>
    </w:p>
    <w:p>
      <w:pPr>
        <w:spacing w:after="120" w:before="0"/>
      </w:pPr>
      <w:r>
        <w:rPr>
          <w:b w:val="0"/>
          <w:i w:val="0"/>
          <w:sz w:val="21"/>
        </w:rPr>
        <w:t>Anybody can point a phone camera at a Clariq label. What they see depends on who they are.</w:t>
      </w:r>
    </w:p>
    <w:tbl>
      <w:tblPr>
        <w:tblStyle w:val="TableGrid"/>
        <w:tblW w:type="auto" w:w="0"/>
        <w:jc w:val="left"/>
        <w:tblLook w:firstColumn="1" w:firstRow="1" w:lastColumn="0" w:lastRow="0" w:noHBand="0" w:noVBand="1" w:val="04A0"/>
      </w:tblPr>
      <w:tblGrid>
        <w:gridCol w:w="4986"/>
        <w:gridCol w:w="4986"/>
      </w:tblGrid>
      <w:tr>
        <w:tc>
          <w:tcPr>
            <w:tcW w:type="dxa" w:w="4986"/>
            <w:shd w:val="clear" w:fill="EAE7DE"/>
          </w:tcPr>
          <w:p>
            <w:pPr>
              <w:spacing w:after="40"/>
            </w:pPr>
            <w:r>
              <w:rPr>
                <w:sz w:val="19"/>
              </w:rPr>
            </w:r>
            <w:r>
              <w:rPr>
                <w:b/>
                <w:i w:val="0"/>
                <w:sz w:val="19"/>
              </w:rPr>
              <w:t>Who is looking</w:t>
            </w:r>
          </w:p>
        </w:tc>
        <w:tc>
          <w:tcPr>
            <w:tcW w:type="dxa" w:w="4986"/>
            <w:shd w:val="clear" w:fill="EAE7DE"/>
          </w:tcPr>
          <w:p>
            <w:pPr>
              <w:spacing w:after="40"/>
            </w:pPr>
            <w:r>
              <w:rPr>
                <w:sz w:val="19"/>
              </w:rPr>
            </w:r>
            <w:r>
              <w:rPr>
                <w:b/>
                <w:i w:val="0"/>
                <w:sz w:val="19"/>
              </w:rPr>
              <w:t>What the screen shows</w:t>
            </w:r>
          </w:p>
        </w:tc>
      </w:tr>
      <w:tr>
        <w:tc>
          <w:tcPr>
            <w:tcW w:type="dxa" w:w="4986"/>
          </w:tcPr>
          <w:p>
            <w:pPr>
              <w:spacing w:after="40"/>
            </w:pPr>
            <w:r>
              <w:rPr>
                <w:sz w:val="19"/>
              </w:rPr>
            </w:r>
            <w:r>
              <w:rPr>
                <w:b/>
                <w:i w:val="0"/>
                <w:sz w:val="19"/>
              </w:rPr>
              <w:t>Anybody, not signed in</w:t>
            </w:r>
          </w:p>
        </w:tc>
        <w:tc>
          <w:tcPr>
            <w:tcW w:type="dxa" w:w="4986"/>
          </w:tcPr>
          <w:p>
            <w:pPr>
              <w:spacing w:after="40"/>
            </w:pPr>
            <w:r>
              <w:rPr>
                <w:sz w:val="19"/>
              </w:rPr>
            </w:r>
            <w:r>
              <w:rPr>
                <w:b w:val="0"/>
                <w:i w:val="0"/>
                <w:sz w:val="19"/>
              </w:rPr>
              <w:t>The container number, who owns it, and how to return it. Nothing about the contents, the price or you.</w:t>
            </w:r>
          </w:p>
        </w:tc>
      </w:tr>
      <w:tr>
        <w:tc>
          <w:tcPr>
            <w:tcW w:type="dxa" w:w="4986"/>
          </w:tcPr>
          <w:p>
            <w:pPr>
              <w:spacing w:after="40"/>
            </w:pPr>
            <w:r>
              <w:rPr>
                <w:sz w:val="19"/>
              </w:rPr>
            </w:r>
            <w:r>
              <w:rPr>
                <w:b/>
                <w:i w:val="0"/>
                <w:sz w:val="19"/>
              </w:rPr>
              <w:t>You, signed in</w:t>
            </w:r>
          </w:p>
        </w:tc>
        <w:tc>
          <w:tcPr>
            <w:tcW w:type="dxa" w:w="4986"/>
          </w:tcPr>
          <w:p>
            <w:pPr>
              <w:spacing w:after="40"/>
            </w:pPr>
            <w:r>
              <w:rPr>
                <w:sz w:val="19"/>
              </w:rPr>
            </w:r>
            <w:r>
              <w:rPr>
                <w:b w:val="0"/>
                <w:i w:val="0"/>
                <w:sz w:val="19"/>
              </w:rPr>
              <w:t>What is in it, the safety data sheet, how long you have had it, and when it is due back.</w:t>
            </w:r>
          </w:p>
        </w:tc>
      </w:tr>
      <w:tr>
        <w:tc>
          <w:tcPr>
            <w:tcW w:type="dxa" w:w="4986"/>
          </w:tcPr>
          <w:p>
            <w:pPr>
              <w:spacing w:after="40"/>
            </w:pPr>
            <w:r>
              <w:rPr>
                <w:sz w:val="19"/>
              </w:rPr>
            </w:r>
            <w:r>
              <w:rPr>
                <w:b/>
                <w:i w:val="0"/>
                <w:sz w:val="19"/>
              </w:rPr>
              <w:t>Your supplier</w:t>
            </w:r>
          </w:p>
        </w:tc>
        <w:tc>
          <w:tcPr>
            <w:tcW w:type="dxa" w:w="4986"/>
          </w:tcPr>
          <w:p>
            <w:pPr>
              <w:spacing w:after="40"/>
            </w:pPr>
            <w:r>
              <w:rPr>
                <w:sz w:val="19"/>
              </w:rPr>
            </w:r>
            <w:r>
              <w:rPr>
                <w:b w:val="0"/>
                <w:i w:val="0"/>
                <w:sz w:val="19"/>
              </w:rPr>
              <w:t>The full record for the container.</w:t>
            </w:r>
          </w:p>
        </w:tc>
      </w:tr>
    </w:tbl>
    <w:p>
      <w:pPr>
        <w:spacing w:after="8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E7F5F1"/>
            <w:tcBorders>
              <w:left w:val="single" w:sz="24" w:color="009E73"/>
            </w:tcBorders>
          </w:tcPr>
          <w:p>
            <w:pPr>
              <w:spacing w:after="60"/>
            </w:pPr>
            <w:r>
              <w:rPr>
                <w:sz w:val="20"/>
              </w:rPr>
            </w:r>
            <w:r>
              <w:rPr>
                <w:b/>
                <w:i w:val="0"/>
                <w:sz w:val="20"/>
              </w:rPr>
              <w:t>Why the public view is so bare.</w:t>
            </w:r>
            <w:r>
              <w:rPr>
                <w:b w:val="0"/>
                <w:i w:val="0"/>
                <w:sz w:val="20"/>
              </w:rPr>
              <w:t xml:space="preserve"> Containers sit on loading docks and in yards where anyone can walk past. The label needs to say "please return me" without telling a stranger what is inside.</w:t>
            </w:r>
          </w:p>
        </w:tc>
      </w:tr>
    </w:tbl>
    <w:p>
      <w:pPr>
        <w:spacing w:after="80"/>
      </w:pPr>
    </w:p>
    <w:p>
      <w:pPr>
        <w:pStyle w:val="Heading2"/>
        <w:spacing w:after="80" w:before="0"/>
      </w:pPr>
      <w:r>
        <w:rPr>
          <w:b w:val="0"/>
          <w:i w:val="0"/>
        </w:rPr>
        <w:t>Quick reference</w:t>
      </w:r>
    </w:p>
    <w:tbl>
      <w:tblPr>
        <w:tblStyle w:val="TableGrid"/>
        <w:tblW w:type="auto" w:w="0"/>
        <w:jc w:val="left"/>
        <w:tblLook w:firstColumn="1" w:firstRow="1" w:lastColumn="0" w:lastRow="0" w:noHBand="0" w:noVBand="1" w:val="04A0"/>
      </w:tblPr>
      <w:tblGrid>
        <w:gridCol w:w="4986"/>
        <w:gridCol w:w="4986"/>
      </w:tblGrid>
      <w:tr>
        <w:tc>
          <w:tcPr>
            <w:tcW w:type="dxa" w:w="4986"/>
            <w:shd w:val="clear" w:fill="EAE7DE"/>
          </w:tcPr>
          <w:p>
            <w:pPr>
              <w:spacing w:after="40"/>
            </w:pPr>
            <w:r>
              <w:rPr>
                <w:sz w:val="19"/>
              </w:rPr>
            </w:r>
            <w:r>
              <w:rPr>
                <w:b/>
                <w:i w:val="0"/>
                <w:sz w:val="19"/>
              </w:rPr>
              <w:t>If you want to</w:t>
            </w:r>
          </w:p>
        </w:tc>
        <w:tc>
          <w:tcPr>
            <w:tcW w:type="dxa" w:w="4986"/>
            <w:shd w:val="clear" w:fill="EAE7DE"/>
          </w:tcPr>
          <w:p>
            <w:pPr>
              <w:spacing w:after="40"/>
            </w:pPr>
            <w:r>
              <w:rPr>
                <w:sz w:val="19"/>
              </w:rPr>
            </w:r>
            <w:r>
              <w:rPr>
                <w:b/>
                <w:i w:val="0"/>
                <w:sz w:val="19"/>
              </w:rPr>
              <w:t>Go to</w:t>
            </w:r>
          </w:p>
        </w:tc>
      </w:tr>
      <w:tr>
        <w:tc>
          <w:tcPr>
            <w:tcW w:type="dxa" w:w="4986"/>
          </w:tcPr>
          <w:p>
            <w:pPr>
              <w:spacing w:after="40"/>
            </w:pPr>
            <w:r>
              <w:rPr>
                <w:sz w:val="19"/>
              </w:rPr>
            </w:r>
            <w:r>
              <w:rPr>
                <w:b w:val="0"/>
                <w:i w:val="0"/>
                <w:sz w:val="19"/>
              </w:rPr>
              <w:t>Check what you are holding</w:t>
            </w:r>
          </w:p>
        </w:tc>
        <w:tc>
          <w:tcPr>
            <w:tcW w:type="dxa" w:w="4986"/>
          </w:tcPr>
          <w:p>
            <w:pPr>
              <w:spacing w:after="40"/>
            </w:pPr>
            <w:r>
              <w:rPr>
                <w:sz w:val="19"/>
              </w:rPr>
            </w:r>
            <w:r>
              <w:rPr>
                <w:b w:val="0"/>
                <w:i w:val="0"/>
                <w:sz w:val="19"/>
              </w:rPr>
              <w:t>See my containers</w:t>
            </w:r>
          </w:p>
        </w:tc>
      </w:tr>
      <w:tr>
        <w:tc>
          <w:tcPr>
            <w:tcW w:type="dxa" w:w="4986"/>
          </w:tcPr>
          <w:p>
            <w:pPr>
              <w:spacing w:after="40"/>
            </w:pPr>
            <w:r>
              <w:rPr>
                <w:sz w:val="19"/>
              </w:rPr>
            </w:r>
            <w:r>
              <w:rPr>
                <w:b w:val="0"/>
                <w:i w:val="0"/>
                <w:sz w:val="19"/>
              </w:rPr>
              <w:t>Find out what is in one</w:t>
            </w:r>
          </w:p>
        </w:tc>
        <w:tc>
          <w:tcPr>
            <w:tcW w:type="dxa" w:w="4986"/>
          </w:tcPr>
          <w:p>
            <w:pPr>
              <w:spacing w:after="40"/>
            </w:pPr>
            <w:r>
              <w:rPr>
                <w:sz w:val="19"/>
              </w:rPr>
            </w:r>
            <w:r>
              <w:rPr>
                <w:b w:val="0"/>
                <w:i w:val="0"/>
                <w:sz w:val="19"/>
              </w:rPr>
              <w:t>Scan it, or tap it in the list</w:t>
            </w:r>
          </w:p>
        </w:tc>
      </w:tr>
      <w:tr>
        <w:tc>
          <w:tcPr>
            <w:tcW w:type="dxa" w:w="4986"/>
          </w:tcPr>
          <w:p>
            <w:pPr>
              <w:spacing w:after="40"/>
            </w:pPr>
            <w:r>
              <w:rPr>
                <w:sz w:val="19"/>
              </w:rPr>
            </w:r>
            <w:r>
              <w:rPr>
                <w:b w:val="0"/>
                <w:i w:val="0"/>
                <w:sz w:val="19"/>
              </w:rPr>
              <w:t>Find a safety data sheet</w:t>
            </w:r>
          </w:p>
        </w:tc>
        <w:tc>
          <w:tcPr>
            <w:tcW w:type="dxa" w:w="4986"/>
          </w:tcPr>
          <w:p>
            <w:pPr>
              <w:spacing w:after="40"/>
            </w:pPr>
            <w:r>
              <w:rPr>
                <w:sz w:val="19"/>
              </w:rPr>
            </w:r>
            <w:r>
              <w:rPr>
                <w:b w:val="0"/>
                <w:i w:val="0"/>
                <w:sz w:val="19"/>
              </w:rPr>
              <w:t>Open the container, then the sheet</w:t>
            </w:r>
          </w:p>
        </w:tc>
      </w:tr>
      <w:tr>
        <w:tc>
          <w:tcPr>
            <w:tcW w:type="dxa" w:w="4986"/>
          </w:tcPr>
          <w:p>
            <w:pPr>
              <w:spacing w:after="40"/>
            </w:pPr>
            <w:r>
              <w:rPr>
                <w:sz w:val="19"/>
              </w:rPr>
            </w:r>
            <w:r>
              <w:rPr>
                <w:b w:val="0"/>
                <w:i w:val="0"/>
                <w:sz w:val="19"/>
              </w:rPr>
              <w:t>See what is due back</w:t>
            </w:r>
          </w:p>
        </w:tc>
        <w:tc>
          <w:tcPr>
            <w:tcW w:type="dxa" w:w="4986"/>
          </w:tcPr>
          <w:p>
            <w:pPr>
              <w:spacing w:after="40"/>
            </w:pPr>
            <w:r>
              <w:rPr>
                <w:sz w:val="19"/>
              </w:rPr>
            </w:r>
            <w:r>
              <w:rPr>
                <w:b w:val="0"/>
                <w:i w:val="0"/>
                <w:sz w:val="19"/>
              </w:rPr>
              <w:t>What is due back</w:t>
            </w:r>
          </w:p>
        </w:tc>
      </w:tr>
      <w:tr>
        <w:tc>
          <w:tcPr>
            <w:tcW w:type="dxa" w:w="4986"/>
          </w:tcPr>
          <w:p>
            <w:pPr>
              <w:spacing w:after="40"/>
            </w:pPr>
            <w:r>
              <w:rPr>
                <w:sz w:val="19"/>
              </w:rPr>
            </w:r>
            <w:r>
              <w:rPr>
                <w:b w:val="0"/>
                <w:i w:val="0"/>
                <w:sz w:val="19"/>
              </w:rPr>
              <w:t>Get a report for the quarter</w:t>
            </w:r>
          </w:p>
        </w:tc>
        <w:tc>
          <w:tcPr>
            <w:tcW w:type="dxa" w:w="4986"/>
          </w:tcPr>
          <w:p>
            <w:pPr>
              <w:spacing w:after="40"/>
            </w:pPr>
            <w:r>
              <w:rPr>
                <w:sz w:val="19"/>
              </w:rPr>
            </w:r>
            <w:r>
              <w:rPr>
                <w:b w:val="0"/>
                <w:i w:val="0"/>
                <w:sz w:val="19"/>
              </w:rPr>
              <w:t>My report, choose the period, download</w:t>
            </w:r>
          </w:p>
        </w:tc>
      </w:tr>
    </w:tbl>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color w:val="6B6B64"/>
        <w:sz w:val="16"/>
      </w:rPr>
      <w:t xml:space="preserve">Clariq for customers  |  Clariq, app v0.7.43, 14-09-2026  |  page     </w:t>
    </w:r>
    <w:fldSimple w:instr="PAGE">
      <w:r>
        <w:rPr>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D1D1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D1D1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8E764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D1D1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