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900"/>
        <w:gridCol w:w="7192"/>
      </w:tblGrid>
      <w:tr>
        <w:tc>
          <w:tcPr>
            <w:tcW w:type="dxa" w:w="2900"/>
            <w:tcBorders>
              <w:top w:val="none" w:color="FFFFFF" w:sz="0"/>
              <w:left w:val="none" w:color="FFFFFF" w:sz="0"/>
              <w:bottom w:val="none" w:color="FFFFFF" w:sz="0"/>
              <w:right w:val="none" w:color="FFFFFF" w:sz="0"/>
            </w:tcBorders>
            <w:tcMar>
              <w:left w:type="dxa" w:w="0"/>
            </w:tcMar>
            <w:vAlign w:val="center"/>
          </w:tcPr>
          <w:p>
            <w:r>
              <w:drawing>
                <wp:inline distT="0" distB="0" distL="0" distR="0">
                  <wp:extent cx="142875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400050"/>
                          </a:xfrm>
                          <a:prstGeom prst="rect">
                            <a:avLst/>
                          </a:prstGeom>
                        </pic:spPr>
                      </pic:pic>
                    </a:graphicData>
                  </a:graphic>
                </wp:inline>
              </w:drawing>
            </w:r>
          </w:p>
        </w:tc>
        <w:tc>
          <w:tcPr>
            <w:tcW w:type="dxa" w:w="7192"/>
            <w:tcBorders>
              <w:top w:val="none" w:color="FFFFFF" w:sz="0"/>
              <w:left w:val="none" w:color="FFFFFF" w:sz="0"/>
              <w:bottom w:val="none" w:color="FFFFFF" w:sz="0"/>
              <w:right w:val="none" w:color="FFFFFF" w:sz="0"/>
            </w:tcBorders>
            <w:vAlign w:val="center"/>
          </w:tcPr>
          <w:p>
            <w:pPr>
              <w:spacing w:after="20"/>
            </w:pPr>
            <w:r>
              <w:rPr>
                <w:rFonts w:ascii="Arial" w:cs="Arial" w:eastAsia="Arial" w:hAnsi="Arial"/>
                <w:b/>
                <w:bCs/>
                <w:color w:val="1D1D1B"/>
                <w:sz w:val="32"/>
                <w:szCs w:val="32"/>
              </w:rPr>
              <w:t xml:space="preserve">Clariq: the hub app and the demo app</w:t>
            </w:r>
          </w:p>
          <w:p>
            <w:r>
              <w:rPr>
                <w:rFonts w:ascii="Arial" w:cs="Arial" w:eastAsia="Arial" w:hAnsi="Arial"/>
                <w:color w:val="5A5F63"/>
                <w:sz w:val="16"/>
                <w:szCs w:val="16"/>
              </w:rPr>
              <w:t xml:space="preserve">A guide for Jay. Prepared 10 September 2026. Keep this with your phone.</w:t>
            </w:r>
          </w:p>
        </w:tc>
      </w:tr>
    </w:tbl>
    <w:p>
      <w:pPr>
        <w:spacing w:after="100" w:before="100"/>
      </w:pPr>
      <w:r>
        <w:rPr>
          <w:rFonts w:ascii="Arial" w:cs="Arial" w:eastAsia="Arial" w:hAnsi="Arial"/>
          <w:color w:val="1D1D1B"/>
          <w:sz w:val="18"/>
          <w:szCs w:val="18"/>
        </w:rPr>
        <w:t xml:space="preserve">There is one Clariq product and it now runs in two places. They look identical, share every feature, and are updated together. The difference is what is behind them: the </w:t>
      </w:r>
      <w:r>
        <w:rPr>
          <w:rFonts w:ascii="Arial" w:cs="Arial" w:eastAsia="Arial" w:hAnsi="Arial"/>
          <w:b/>
          <w:bCs/>
          <w:color w:val="1D1D1B"/>
          <w:sz w:val="18"/>
          <w:szCs w:val="18"/>
        </w:rPr>
        <w:t xml:space="preserve">hub</w:t>
      </w:r>
      <w:r>
        <w:rPr>
          <w:rFonts w:ascii="Arial" w:cs="Arial" w:eastAsia="Arial" w:hAnsi="Arial"/>
          <w:color w:val="1D1D1B"/>
          <w:sz w:val="18"/>
          <w:szCs w:val="18"/>
        </w:rPr>
        <w:t xml:space="preserve"> holds real containers and real customers; the </w:t>
      </w:r>
      <w:r>
        <w:rPr>
          <w:rFonts w:ascii="Arial" w:cs="Arial" w:eastAsia="Arial" w:hAnsi="Arial"/>
          <w:b/>
          <w:bCs/>
          <w:color w:val="1D1D1B"/>
          <w:sz w:val="18"/>
          <w:szCs w:val="18"/>
        </w:rPr>
        <w:t xml:space="preserve">demo</w:t>
      </w:r>
      <w:r>
        <w:rPr>
          <w:rFonts w:ascii="Arial" w:cs="Arial" w:eastAsia="Arial" w:hAnsi="Arial"/>
          <w:color w:val="1D1D1B"/>
          <w:sz w:val="18"/>
          <w:szCs w:val="18"/>
        </w:rPr>
        <w:t xml:space="preserve"> holds a made-up fleet you can play with in front of anyone.</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500"/>
        <w:gridCol w:w="4296"/>
        <w:gridCol w:w="4296"/>
      </w:tblGrid>
      <w:tr>
        <w:tc>
          <w:tcPr>
            <w:tcW w:type="dxa" w:w="1500"/>
            <w:tcBorders>
              <w:top w:val="none" w:color="FFFFFF" w:sz="0"/>
              <w:left w:val="none" w:color="FFFFFF" w:sz="0"/>
              <w:bottom w:val="single" w:color="D9DEE2" w:sz="4"/>
              <w:right w:val="none" w:color="FFFFFF" w:sz="0"/>
            </w:tcBorders>
            <w:tcMar>
              <w:top w:type="dxa" w:w="60"/>
              <w:left w:type="dxa" w:w="90"/>
              <w:bottom w:type="dxa" w:w="60"/>
              <w:right w:type="dxa" w:w="90"/>
            </w:tcMar>
            <w:vAlign w:val="top"/>
          </w:tcPr>
          <w:p>
            <w:pPr>
              <w:spacing w:after="0" w:line="235"/>
            </w:pPr>
            <w:r>
              <w:rPr>
                <w:rFonts w:ascii="Arial" w:cs="Arial" w:eastAsia="Arial" w:hAnsi="Arial"/>
                <w:color w:val="1D1D1B"/>
                <w:sz w:val="17"/>
                <w:szCs w:val="17"/>
              </w:rPr>
              <w:t xml:space="preserve"/>
            </w:r>
          </w:p>
        </w:tc>
        <w:tc>
          <w:tcPr>
            <w:tcW w:type="dxa" w:w="4296"/>
            <w:tcBorders>
              <w:top w:val="none" w:color="FFFFFF" w:sz="0"/>
              <w:left w:val="none" w:color="FFFFFF" w:sz="0"/>
              <w:bottom w:val="single" w:color="D9DEE2" w:sz="4"/>
              <w:right w:val="none" w:color="FFFFFF" w:sz="0"/>
            </w:tcBorders>
            <w:shd w:fill="EEF4F9" w:color="auto" w:val="clear"/>
            <w:tcMar>
              <w:top w:type="dxa" w:w="60"/>
              <w:left w:type="dxa" w:w="90"/>
              <w:bottom w:type="dxa" w:w="60"/>
              <w:right w:type="dxa" w:w="90"/>
            </w:tcMar>
            <w:vAlign w:val="top"/>
          </w:tcPr>
          <w:p>
            <w:pPr>
              <w:spacing w:after="0" w:line="235"/>
            </w:pPr>
            <w:r>
              <w:rPr>
                <w:rFonts w:ascii="Arial" w:cs="Arial" w:eastAsia="Arial" w:hAnsi="Arial"/>
                <w:b/>
                <w:bCs/>
                <w:color w:val="0072B2"/>
                <w:sz w:val="14"/>
                <w:szCs w:val="14"/>
              </w:rPr>
              <w:t xml:space="preserve">THE HUB (live)</w:t>
            </w:r>
          </w:p>
        </w:tc>
        <w:tc>
          <w:tcPr>
            <w:tcW w:type="dxa" w:w="4296"/>
            <w:tcBorders>
              <w:top w:val="none" w:color="FFFFFF" w:sz="0"/>
              <w:left w:val="none" w:color="FFFFFF" w:sz="0"/>
              <w:bottom w:val="single" w:color="D9DEE2" w:sz="4"/>
              <w:right w:val="none" w:color="FFFFFF" w:sz="0"/>
            </w:tcBorders>
            <w:shd w:fill="F7F9FA" w:color="auto" w:val="clear"/>
            <w:tcMar>
              <w:top w:type="dxa" w:w="60"/>
              <w:left w:type="dxa" w:w="90"/>
              <w:bottom w:type="dxa" w:w="60"/>
              <w:right w:type="dxa" w:w="90"/>
            </w:tcMar>
            <w:vAlign w:val="top"/>
          </w:tcPr>
          <w:p>
            <w:pPr>
              <w:spacing w:after="0" w:line="235"/>
            </w:pPr>
            <w:r>
              <w:rPr>
                <w:rFonts w:ascii="Arial" w:cs="Arial" w:eastAsia="Arial" w:hAnsi="Arial"/>
                <w:b/>
                <w:bCs/>
                <w:color w:val="0072B2"/>
                <w:sz w:val="14"/>
                <w:szCs w:val="14"/>
              </w:rPr>
              <w:t xml:space="preserve">THE DEMO</w:t>
            </w:r>
          </w:p>
        </w:tc>
      </w:tr>
      <w:tr>
        <w:tc>
          <w:tcPr>
            <w:tcW w:type="dxa" w:w="1500"/>
            <w:tcBorders>
              <w:top w:val="none" w:color="FFFFFF" w:sz="0"/>
              <w:left w:val="none" w:color="FFFFFF" w:sz="0"/>
              <w:bottom w:val="single" w:color="D9DEE2" w:sz="4"/>
              <w:right w:val="none" w:color="FFFFFF" w:sz="0"/>
            </w:tcBorders>
            <w:tcMar>
              <w:top w:type="dxa" w:w="60"/>
              <w:left w:type="dxa" w:w="90"/>
              <w:bottom w:type="dxa" w:w="60"/>
              <w:right w:type="dxa" w:w="90"/>
            </w:tcMar>
            <w:vAlign w:val="top"/>
          </w:tcPr>
          <w:p>
            <w:pPr>
              <w:spacing w:after="0" w:line="235"/>
            </w:pPr>
            <w:r>
              <w:rPr>
                <w:rFonts w:ascii="Arial" w:cs="Arial" w:eastAsia="Arial" w:hAnsi="Arial"/>
                <w:b/>
                <w:bCs/>
                <w:color w:val="1D1D1B"/>
                <w:sz w:val="17"/>
                <w:szCs w:val="17"/>
              </w:rPr>
              <w:t xml:space="preserve">Address</w:t>
            </w:r>
          </w:p>
        </w:tc>
        <w:tc>
          <w:tcPr>
            <w:tcW w:type="dxa" w:w="4296"/>
            <w:tcBorders>
              <w:top w:val="none" w:color="FFFFFF" w:sz="0"/>
              <w:left w:val="none" w:color="FFFFFF" w:sz="0"/>
              <w:bottom w:val="single" w:color="D9DEE2" w:sz="4"/>
              <w:right w:val="none" w:color="FFFFFF" w:sz="0"/>
            </w:tcBorders>
            <w:shd w:fill="EEF4F9" w:color="auto" w:val="clear"/>
            <w:tcMar>
              <w:top w:type="dxa" w:w="60"/>
              <w:left w:type="dxa" w:w="90"/>
              <w:bottom w:type="dxa" w:w="60"/>
              <w:right w:type="dxa" w:w="90"/>
            </w:tcMar>
            <w:vAlign w:val="top"/>
          </w:tcPr>
          <w:p>
            <w:r>
              <w:rPr>
                <w:rFonts w:ascii="Courier New" w:cs="Courier New" w:eastAsia="Courier New" w:hAnsi="Courier New"/>
                <w:b/>
                <w:bCs/>
                <w:color w:val="1D1D1B"/>
                <w:sz w:val="18"/>
                <w:szCs w:val="18"/>
              </w:rPr>
              <w:t xml:space="preserve">clariq-hub.netlify.app</w:t>
            </w:r>
          </w:p>
        </w:tc>
        <w:tc>
          <w:tcPr>
            <w:tcW w:type="dxa" w:w="4296"/>
            <w:tcBorders>
              <w:top w:val="none" w:color="FFFFFF" w:sz="0"/>
              <w:left w:val="none" w:color="FFFFFF" w:sz="0"/>
              <w:bottom w:val="single" w:color="D9DEE2" w:sz="4"/>
              <w:right w:val="none" w:color="FFFFFF" w:sz="0"/>
            </w:tcBorders>
            <w:shd w:fill="F7F9FA" w:color="auto" w:val="clear"/>
            <w:tcMar>
              <w:top w:type="dxa" w:w="60"/>
              <w:left w:type="dxa" w:w="90"/>
              <w:bottom w:type="dxa" w:w="60"/>
              <w:right w:type="dxa" w:w="90"/>
            </w:tcMar>
            <w:vAlign w:val="top"/>
          </w:tcPr>
          <w:p>
            <w:r>
              <w:rPr>
                <w:rFonts w:ascii="Courier New" w:cs="Courier New" w:eastAsia="Courier New" w:hAnsi="Courier New"/>
                <w:b/>
                <w:bCs/>
                <w:color w:val="1D1D1B"/>
                <w:sz w:val="18"/>
                <w:szCs w:val="18"/>
              </w:rPr>
              <w:t xml:space="preserve">clariq-demo.netlify.app</w:t>
            </w:r>
          </w:p>
        </w:tc>
      </w:tr>
      <w:tr>
        <w:tc>
          <w:tcPr>
            <w:tcW w:type="dxa" w:w="1500"/>
            <w:tcBorders>
              <w:top w:val="none" w:color="FFFFFF" w:sz="0"/>
              <w:left w:val="none" w:color="FFFFFF" w:sz="0"/>
              <w:bottom w:val="single" w:color="D9DEE2" w:sz="4"/>
              <w:right w:val="none" w:color="FFFFFF" w:sz="0"/>
            </w:tcBorders>
            <w:tcMar>
              <w:top w:type="dxa" w:w="60"/>
              <w:left w:type="dxa" w:w="90"/>
              <w:bottom w:type="dxa" w:w="60"/>
              <w:right w:type="dxa" w:w="90"/>
            </w:tcMar>
            <w:vAlign w:val="top"/>
          </w:tcPr>
          <w:p>
            <w:pPr>
              <w:spacing w:after="0" w:line="235"/>
            </w:pPr>
            <w:r>
              <w:rPr>
                <w:rFonts w:ascii="Arial" w:cs="Arial" w:eastAsia="Arial" w:hAnsi="Arial"/>
                <w:b/>
                <w:bCs/>
                <w:color w:val="1D1D1B"/>
                <w:sz w:val="17"/>
                <w:szCs w:val="17"/>
              </w:rPr>
              <w:t xml:space="preserve">What it is for</w:t>
            </w:r>
          </w:p>
        </w:tc>
        <w:tc>
          <w:tcPr>
            <w:tcW w:type="dxa" w:w="4296"/>
            <w:tcBorders>
              <w:top w:val="none" w:color="FFFFFF" w:sz="0"/>
              <w:left w:val="none" w:color="FFFFFF" w:sz="0"/>
              <w:bottom w:val="single" w:color="D9DEE2" w:sz="4"/>
              <w:right w:val="none" w:color="FFFFFF" w:sz="0"/>
            </w:tcBorders>
            <w:shd w:fill="EEF4F9" w:color="auto" w:val="clear"/>
            <w:tcMar>
              <w:top w:type="dxa" w:w="60"/>
              <w:left w:type="dxa" w:w="90"/>
              <w:bottom w:type="dxa" w:w="60"/>
              <w:right w:type="dxa" w:w="90"/>
            </w:tcMar>
            <w:vAlign w:val="top"/>
          </w:tcPr>
          <w:p>
            <w:pPr>
              <w:spacing w:after="0" w:line="235"/>
            </w:pPr>
            <w:r>
              <w:rPr>
                <w:rFonts w:ascii="Arial" w:cs="Arial" w:eastAsia="Arial" w:hAnsi="Arial"/>
                <w:color w:val="1D1D1B"/>
                <w:sz w:val="17"/>
                <w:szCs w:val="17"/>
              </w:rPr>
              <w:t xml:space="preserve">Running the business. Every scan, fill, dispatch and return you record here is a permanent record.</w:t>
            </w:r>
          </w:p>
        </w:tc>
        <w:tc>
          <w:tcPr>
            <w:tcW w:type="dxa" w:w="4296"/>
            <w:tcBorders>
              <w:top w:val="none" w:color="FFFFFF" w:sz="0"/>
              <w:left w:val="none" w:color="FFFFFF" w:sz="0"/>
              <w:bottom w:val="single" w:color="D9DEE2" w:sz="4"/>
              <w:right w:val="none" w:color="FFFFFF" w:sz="0"/>
            </w:tcBorders>
            <w:shd w:fill="F7F9FA" w:color="auto" w:val="clear"/>
            <w:tcMar>
              <w:top w:type="dxa" w:w="60"/>
              <w:left w:type="dxa" w:w="90"/>
              <w:bottom w:type="dxa" w:w="60"/>
              <w:right w:type="dxa" w:w="90"/>
            </w:tcMar>
            <w:vAlign w:val="top"/>
          </w:tcPr>
          <w:p>
            <w:pPr>
              <w:spacing w:after="0" w:line="235"/>
            </w:pPr>
            <w:r>
              <w:rPr>
                <w:rFonts w:ascii="Arial" w:cs="Arial" w:eastAsia="Arial" w:hAnsi="Arial"/>
                <w:color w:val="1D1D1B"/>
                <w:sz w:val="17"/>
                <w:szCs w:val="17"/>
              </w:rPr>
              <w:t xml:space="preserve">Showing people. Sales walks, training, trying things out. Nothing here matters and it can be reset to the same starting fleet at any time.</w:t>
            </w:r>
          </w:p>
        </w:tc>
      </w:tr>
      <w:tr>
        <w:tc>
          <w:tcPr>
            <w:tcW w:type="dxa" w:w="1500"/>
            <w:tcBorders>
              <w:top w:val="none" w:color="FFFFFF" w:sz="0"/>
              <w:left w:val="none" w:color="FFFFFF" w:sz="0"/>
              <w:bottom w:val="single" w:color="D9DEE2" w:sz="4"/>
              <w:right w:val="none" w:color="FFFFFF" w:sz="0"/>
            </w:tcBorders>
            <w:tcMar>
              <w:top w:type="dxa" w:w="60"/>
              <w:left w:type="dxa" w:w="90"/>
              <w:bottom w:type="dxa" w:w="60"/>
              <w:right w:type="dxa" w:w="90"/>
            </w:tcMar>
            <w:vAlign w:val="top"/>
          </w:tcPr>
          <w:p>
            <w:pPr>
              <w:spacing w:after="0" w:line="235"/>
            </w:pPr>
            <w:r>
              <w:rPr>
                <w:rFonts w:ascii="Arial" w:cs="Arial" w:eastAsia="Arial" w:hAnsi="Arial"/>
                <w:b/>
                <w:bCs/>
                <w:color w:val="1D1D1B"/>
                <w:sz w:val="17"/>
                <w:szCs w:val="17"/>
              </w:rPr>
              <w:t xml:space="preserve">What is in it</w:t>
            </w:r>
          </w:p>
        </w:tc>
        <w:tc>
          <w:tcPr>
            <w:tcW w:type="dxa" w:w="4296"/>
            <w:tcBorders>
              <w:top w:val="none" w:color="FFFFFF" w:sz="0"/>
              <w:left w:val="none" w:color="FFFFFF" w:sz="0"/>
              <w:bottom w:val="single" w:color="D9DEE2" w:sz="4"/>
              <w:right w:val="none" w:color="FFFFFF" w:sz="0"/>
            </w:tcBorders>
            <w:shd w:fill="EEF4F9" w:color="auto" w:val="clear"/>
            <w:tcMar>
              <w:top w:type="dxa" w:w="60"/>
              <w:left w:type="dxa" w:w="90"/>
              <w:bottom w:type="dxa" w:w="60"/>
              <w:right w:type="dxa" w:w="90"/>
            </w:tcMar>
            <w:vAlign w:val="top"/>
          </w:tcPr>
          <w:p>
            <w:pPr>
              <w:spacing w:after="0" w:line="235"/>
            </w:pPr>
            <w:r>
              <w:rPr>
                <w:rFonts w:ascii="Arial" w:cs="Arial" w:eastAsia="Arial" w:hAnsi="Arial"/>
                <w:color w:val="1D1D1B"/>
                <w:sz w:val="17"/>
                <w:szCs w:val="17"/>
              </w:rPr>
              <w:t xml:space="preserve">Real customers only. It starts empty: the first container you create is CLQ-000001.</w:t>
            </w:r>
          </w:p>
        </w:tc>
        <w:tc>
          <w:tcPr>
            <w:tcW w:type="dxa" w:w="4296"/>
            <w:tcBorders>
              <w:top w:val="none" w:color="FFFFFF" w:sz="0"/>
              <w:left w:val="none" w:color="FFFFFF" w:sz="0"/>
              <w:bottom w:val="single" w:color="D9DEE2" w:sz="4"/>
              <w:right w:val="none" w:color="FFFFFF" w:sz="0"/>
            </w:tcBorders>
            <w:shd w:fill="F7F9FA" w:color="auto" w:val="clear"/>
            <w:tcMar>
              <w:top w:type="dxa" w:w="60"/>
              <w:left w:type="dxa" w:w="90"/>
              <w:bottom w:type="dxa" w:w="60"/>
              <w:right w:type="dxa" w:w="90"/>
            </w:tcMar>
            <w:vAlign w:val="top"/>
          </w:tcPr>
          <w:p>
            <w:pPr>
              <w:spacing w:after="0" w:line="235"/>
            </w:pPr>
            <w:r>
              <w:rPr>
                <w:rFonts w:ascii="Arial" w:cs="Arial" w:eastAsia="Arial" w:hAnsi="Arial"/>
                <w:color w:val="1D1D1B"/>
                <w:sz w:val="17"/>
                <w:szCs w:val="17"/>
              </w:rPr>
              <w:t xml:space="preserve">144 containers across six fictional customers (Waikato Dairy, Southern Orchards, Harbour Marine, Canterbury Agri, Bay Water, Clarq), with months of history.</w:t>
            </w:r>
          </w:p>
        </w:tc>
      </w:tr>
      <w:tr>
        <w:tc>
          <w:tcPr>
            <w:tcW w:type="dxa" w:w="1500"/>
            <w:tcBorders>
              <w:top w:val="none" w:color="FFFFFF" w:sz="0"/>
              <w:left w:val="none" w:color="FFFFFF" w:sz="0"/>
              <w:bottom w:val="single" w:color="D9DEE2" w:sz="4"/>
              <w:right w:val="none" w:color="FFFFFF" w:sz="0"/>
            </w:tcBorders>
            <w:tcMar>
              <w:top w:type="dxa" w:w="60"/>
              <w:left w:type="dxa" w:w="90"/>
              <w:bottom w:type="dxa" w:w="60"/>
              <w:right w:type="dxa" w:w="90"/>
            </w:tcMar>
            <w:vAlign w:val="top"/>
          </w:tcPr>
          <w:p>
            <w:pPr>
              <w:spacing w:after="0" w:line="235"/>
            </w:pPr>
            <w:r>
              <w:rPr>
                <w:rFonts w:ascii="Arial" w:cs="Arial" w:eastAsia="Arial" w:hAnsi="Arial"/>
                <w:b/>
                <w:bCs/>
                <w:color w:val="1D1D1B"/>
                <w:sz w:val="17"/>
                <w:szCs w:val="17"/>
              </w:rPr>
              <w:t xml:space="preserve">Labels</w:t>
            </w:r>
          </w:p>
        </w:tc>
        <w:tc>
          <w:tcPr>
            <w:tcW w:type="dxa" w:w="4296"/>
            <w:tcBorders>
              <w:top w:val="none" w:color="FFFFFF" w:sz="0"/>
              <w:left w:val="none" w:color="FFFFFF" w:sz="0"/>
              <w:bottom w:val="single" w:color="D9DEE2" w:sz="4"/>
              <w:right w:val="none" w:color="FFFFFF" w:sz="0"/>
            </w:tcBorders>
            <w:shd w:fill="EEF4F9" w:color="auto" w:val="clear"/>
            <w:tcMar>
              <w:top w:type="dxa" w:w="60"/>
              <w:left w:type="dxa" w:w="90"/>
              <w:bottom w:type="dxa" w:w="60"/>
              <w:right w:type="dxa" w:w="90"/>
            </w:tcMar>
            <w:vAlign w:val="top"/>
          </w:tcPr>
          <w:p>
            <w:pPr>
              <w:spacing w:after="0" w:line="235"/>
            </w:pPr>
            <w:r>
              <w:rPr>
                <w:rFonts w:ascii="Arial" w:cs="Arial" w:eastAsia="Arial" w:hAnsi="Arial"/>
                <w:color w:val="1D1D1B"/>
                <w:sz w:val="17"/>
                <w:szCs w:val="17"/>
              </w:rPr>
              <w:t xml:space="preserve">Printed from here only. The address above is printed on every label, permanently.</w:t>
            </w:r>
          </w:p>
        </w:tc>
        <w:tc>
          <w:tcPr>
            <w:tcW w:type="dxa" w:w="4296"/>
            <w:tcBorders>
              <w:top w:val="none" w:color="FFFFFF" w:sz="0"/>
              <w:left w:val="none" w:color="FFFFFF" w:sz="0"/>
              <w:bottom w:val="single" w:color="D9DEE2" w:sz="4"/>
              <w:right w:val="none" w:color="FFFFFF" w:sz="0"/>
            </w:tcBorders>
            <w:shd w:fill="F7F9FA" w:color="auto" w:val="clear"/>
            <w:tcMar>
              <w:top w:type="dxa" w:w="60"/>
              <w:left w:type="dxa" w:w="90"/>
              <w:bottom w:type="dxa" w:w="60"/>
              <w:right w:type="dxa" w:w="90"/>
            </w:tcMar>
            <w:vAlign w:val="top"/>
          </w:tcPr>
          <w:p>
            <w:pPr>
              <w:spacing w:after="0" w:line="235"/>
            </w:pPr>
            <w:r>
              <w:rPr>
                <w:rFonts w:ascii="Arial" w:cs="Arial" w:eastAsia="Arial" w:hAnsi="Arial"/>
                <w:color w:val="1D1D1B"/>
                <w:sz w:val="17"/>
                <w:szCs w:val="17"/>
              </w:rPr>
              <w:t xml:space="preserve">Never print labels from the demo. Its scan links point at the demo, not the hub.</w:t>
            </w:r>
          </w:p>
        </w:tc>
      </w:tr>
      <w:tr>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35"/>
            </w:pPr>
            <w:r>
              <w:rPr>
                <w:rFonts w:ascii="Arial" w:cs="Arial" w:eastAsia="Arial" w:hAnsi="Arial"/>
                <w:b/>
                <w:bCs/>
                <w:color w:val="1D1D1B"/>
                <w:sz w:val="17"/>
                <w:szCs w:val="17"/>
              </w:rPr>
              <w:t xml:space="preserve">Golden rule</w:t>
            </w:r>
          </w:p>
        </w:tc>
        <w:tc>
          <w:tcPr>
            <w:tcW w:type="dxa" w:w="4296"/>
            <w:tcBorders>
              <w:top w:val="none" w:color="FFFFFF" w:sz="0"/>
              <w:left w:val="none" w:color="FFFFFF" w:sz="0"/>
              <w:bottom w:val="none" w:color="FFFFFF" w:sz="0"/>
              <w:right w:val="none" w:color="FFFFFF" w:sz="0"/>
            </w:tcBorders>
            <w:shd w:fill="EEF4F9" w:color="auto" w:val="clear"/>
            <w:tcMar>
              <w:top w:type="dxa" w:w="60"/>
              <w:left w:type="dxa" w:w="90"/>
              <w:bottom w:type="dxa" w:w="60"/>
              <w:right w:type="dxa" w:w="90"/>
            </w:tcMar>
            <w:vAlign w:val="top"/>
          </w:tcPr>
          <w:p>
            <w:pPr>
              <w:spacing w:after="0" w:line="235"/>
            </w:pPr>
            <w:r>
              <w:rPr>
                <w:rFonts w:ascii="Arial" w:cs="Arial" w:eastAsia="Arial" w:hAnsi="Arial"/>
                <w:color w:val="1D1D1B"/>
                <w:sz w:val="17"/>
                <w:szCs w:val="17"/>
              </w:rPr>
              <w:t xml:space="preserve">If it is real, it goes in the hub.</w:t>
            </w:r>
          </w:p>
        </w:tc>
        <w:tc>
          <w:tcPr>
            <w:tcW w:type="dxa" w:w="4296"/>
            <w:tcBorders>
              <w:top w:val="none" w:color="FFFFFF" w:sz="0"/>
              <w:left w:val="none" w:color="FFFFFF" w:sz="0"/>
              <w:bottom w:val="none" w:color="FFFFFF" w:sz="0"/>
              <w:right w:val="none" w:color="FFFFFF" w:sz="0"/>
            </w:tcBorders>
            <w:shd w:fill="F7F9FA" w:color="auto" w:val="clear"/>
            <w:tcMar>
              <w:top w:type="dxa" w:w="60"/>
              <w:left w:type="dxa" w:w="90"/>
              <w:bottom w:type="dxa" w:w="60"/>
              <w:right w:type="dxa" w:w="90"/>
            </w:tcMar>
            <w:vAlign w:val="top"/>
          </w:tcPr>
          <w:p>
            <w:pPr>
              <w:spacing w:after="0" w:line="235"/>
            </w:pPr>
            <w:r>
              <w:rPr>
                <w:rFonts w:ascii="Arial" w:cs="Arial" w:eastAsia="Arial" w:hAnsi="Arial"/>
                <w:color w:val="1D1D1B"/>
                <w:sz w:val="17"/>
                <w:szCs w:val="17"/>
              </w:rPr>
              <w:t xml:space="preserve">If you are showing or learning, use the demo.</w:t>
            </w:r>
          </w:p>
        </w:tc>
      </w:tr>
    </w:tbl>
    <w:p>
      <w:pPr>
        <w:spacing w:after="50" w:before="140"/>
      </w:pPr>
      <w:r>
        <w:rPr>
          <w:rFonts w:ascii="Arial" w:cs="Arial" w:eastAsia="Arial" w:hAnsi="Arial"/>
          <w:b/>
          <w:bCs/>
          <w:color w:val="1D1D1B"/>
          <w:sz w:val="21"/>
          <w:szCs w:val="21"/>
        </w:rPr>
        <w:t xml:space="preserve">How you sign in (same on both, phone or laptop)</w:t>
      </w:r>
    </w:p>
    <w:p>
      <w:pPr>
        <w:pStyle w:val="ListParagraph"/>
        <w:numPr>
          <w:ilvl w:val="0"/>
          <w:numId w:val="2"/>
        </w:numPr>
        <w:spacing w:after="30" w:line="245"/>
      </w:pPr>
      <w:r>
        <w:rPr>
          <w:rFonts w:ascii="Arial" w:cs="Arial" w:eastAsia="Arial" w:hAnsi="Arial"/>
          <w:color w:val="1D1D1B"/>
          <w:sz w:val="18"/>
          <w:szCs w:val="18"/>
        </w:rPr>
        <w:t xml:space="preserve">Open the address in your browser. On a phone, use Safari or Chrome; the camera scanner works in either.</w:t>
      </w:r>
    </w:p>
    <w:p>
      <w:pPr>
        <w:pStyle w:val="ListParagraph"/>
        <w:numPr>
          <w:ilvl w:val="0"/>
          <w:numId w:val="2"/>
        </w:numPr>
        <w:spacing w:after="30" w:line="245"/>
      </w:pPr>
      <w:r>
        <w:rPr>
          <w:rFonts w:ascii="Arial" w:cs="Arial" w:eastAsia="Arial" w:hAnsi="Arial"/>
          <w:color w:val="1D1D1B"/>
          <w:sz w:val="18"/>
          <w:szCs w:val="18"/>
        </w:rPr>
        <w:t xml:space="preserve">Enter your email and tap </w:t>
      </w:r>
      <w:r>
        <w:rPr>
          <w:rFonts w:ascii="Arial" w:cs="Arial" w:eastAsia="Arial" w:hAnsi="Arial"/>
          <w:b/>
          <w:bCs/>
          <w:color w:val="1D1D1B"/>
          <w:sz w:val="18"/>
          <w:szCs w:val="18"/>
        </w:rPr>
        <w:t xml:space="preserve">Send me a link</w:t>
      </w:r>
      <w:r>
        <w:rPr>
          <w:rFonts w:ascii="Arial" w:cs="Arial" w:eastAsia="Arial" w:hAnsi="Arial"/>
          <w:color w:val="1D1D1B"/>
          <w:sz w:val="18"/>
          <w:szCs w:val="18"/>
        </w:rPr>
        <w:t xml:space="preserve">. There is no password to remember. Two addresses are set up for you as Administrator, </w:t>
      </w:r>
      <w:r>
        <w:rPr>
          <w:rFonts w:ascii="Arial" w:cs="Arial" w:eastAsia="Arial" w:hAnsi="Arial"/>
          <w:b/>
          <w:bCs/>
          <w:color w:val="1D1D1B"/>
          <w:sz w:val="18"/>
          <w:szCs w:val="18"/>
        </w:rPr>
        <w:t xml:space="preserve">jnf1306@gmail.com</w:t>
      </w:r>
      <w:r>
        <w:rPr>
          <w:rFonts w:ascii="Arial" w:cs="Arial" w:eastAsia="Arial" w:hAnsi="Arial"/>
          <w:color w:val="1D1D1B"/>
          <w:sz w:val="18"/>
          <w:szCs w:val="18"/>
        </w:rPr>
        <w:t xml:space="preserve"> and </w:t>
      </w:r>
      <w:r>
        <w:rPr>
          <w:rFonts w:ascii="Arial" w:cs="Arial" w:eastAsia="Arial" w:hAnsi="Arial"/>
          <w:b/>
          <w:bCs/>
          <w:color w:val="1D1D1B"/>
          <w:sz w:val="18"/>
          <w:szCs w:val="18"/>
        </w:rPr>
        <w:t xml:space="preserve">info@clariq.nz</w:t>
      </w:r>
      <w:r>
        <w:rPr>
          <w:rFonts w:ascii="Arial" w:cs="Arial" w:eastAsia="Arial" w:hAnsi="Arial"/>
          <w:color w:val="1D1D1B"/>
          <w:sz w:val="18"/>
          <w:szCs w:val="18"/>
        </w:rPr>
        <w:t xml:space="preserve">. Use whichever inbox is handier, or both; they are separate accounts and the app shows them as Jay Ferguson and Jay Ferguson (info).</w:t>
      </w:r>
    </w:p>
    <w:p>
      <w:pPr>
        <w:pStyle w:val="ListParagraph"/>
        <w:numPr>
          <w:ilvl w:val="0"/>
          <w:numId w:val="2"/>
        </w:numPr>
        <w:spacing w:after="30" w:line="245"/>
      </w:pPr>
      <w:r>
        <w:rPr>
          <w:rFonts w:ascii="Arial" w:cs="Arial" w:eastAsia="Arial" w:hAnsi="Arial"/>
          <w:color w:val="1D1D1B"/>
          <w:sz w:val="18"/>
          <w:szCs w:val="18"/>
        </w:rPr>
        <w:t xml:space="preserve">Open your inbox. The email comes from </w:t>
      </w:r>
      <w:r>
        <w:rPr>
          <w:rFonts w:ascii="Arial" w:cs="Arial" w:eastAsia="Arial" w:hAnsi="Arial"/>
          <w:b/>
          <w:bCs/>
          <w:color w:val="1D1D1B"/>
          <w:sz w:val="18"/>
          <w:szCs w:val="18"/>
        </w:rPr>
        <w:t xml:space="preserve">Clariq</w:t>
      </w:r>
      <w:r>
        <w:rPr>
          <w:rFonts w:ascii="Arial" w:cs="Arial" w:eastAsia="Arial" w:hAnsi="Arial"/>
          <w:color w:val="1D1D1B"/>
          <w:sz w:val="18"/>
          <w:szCs w:val="18"/>
        </w:rPr>
        <w:t xml:space="preserve">. Tap the link inside it. You are signed in as an Administrator, which means every screen and every action is available to you.</w:t>
      </w:r>
    </w:p>
    <w:p>
      <w:pPr>
        <w:pStyle w:val="ListParagraph"/>
        <w:numPr>
          <w:ilvl w:val="0"/>
          <w:numId w:val="2"/>
        </w:numPr>
        <w:spacing w:after="30" w:line="245"/>
      </w:pPr>
      <w:r>
        <w:rPr>
          <w:rFonts w:ascii="Arial" w:cs="Arial" w:eastAsia="Arial" w:hAnsi="Arial"/>
          <w:color w:val="1D1D1B"/>
          <w:sz w:val="18"/>
          <w:szCs w:val="18"/>
        </w:rPr>
        <w:t xml:space="preserve">Do this once per device and you stay signed in for 30 days. On a phone, use </w:t>
      </w:r>
      <w:r>
        <w:rPr>
          <w:rFonts w:ascii="Arial" w:cs="Arial" w:eastAsia="Arial" w:hAnsi="Arial"/>
          <w:b/>
          <w:bCs/>
          <w:color w:val="1D1D1B"/>
          <w:sz w:val="18"/>
          <w:szCs w:val="18"/>
        </w:rPr>
        <w:t xml:space="preserve">Add to Home Screen</w:t>
      </w:r>
      <w:r>
        <w:rPr>
          <w:rFonts w:ascii="Arial" w:cs="Arial" w:eastAsia="Arial" w:hAnsi="Arial"/>
          <w:color w:val="1D1D1B"/>
          <w:sz w:val="18"/>
          <w:szCs w:val="18"/>
        </w:rPr>
        <w:t xml:space="preserve"> so Clariq opens like an app.</w:t>
      </w:r>
    </w:p>
    <w:p>
      <w:pPr>
        <w:pStyle w:val="ListParagraph"/>
        <w:numPr>
          <w:ilvl w:val="0"/>
          <w:numId w:val="2"/>
        </w:numPr>
        <w:spacing w:after="30" w:line="245"/>
      </w:pPr>
      <w:r>
        <w:rPr>
          <w:rFonts w:ascii="Arial" w:cs="Arial" w:eastAsia="Arial" w:hAnsi="Arial"/>
          <w:color w:val="1D1D1B"/>
          <w:sz w:val="18"/>
          <w:szCs w:val="18"/>
        </w:rPr>
        <w:t xml:space="preserve">The first time, three short welcome cards explain the layout. You can replay them any time from the Menu.</w:t>
      </w:r>
    </w:p>
    <w:p>
      <w:pPr>
        <w:spacing w:after="40" w:line="252"/>
      </w:pPr>
      <w:r>
        <w:rPr>
          <w:rFonts w:ascii="Arial" w:cs="Arial" w:eastAsia="Arial" w:hAnsi="Arial"/>
          <w:color w:val="5A5F63"/>
          <w:sz w:val="15"/>
          <w:szCs w:val="15"/>
        </w:rPr>
        <w:t xml:space="preserve">The hub and the demo are separate sign-ins. Signing in to one does not sign you in to the other, and that is deliberate.</w:t>
      </w:r>
    </w:p>
    <w:p>
      <w:pPr>
        <w:spacing w:after="50" w:before="140"/>
      </w:pPr>
      <w:r>
        <w:rPr>
          <w:rFonts w:ascii="Arial" w:cs="Arial" w:eastAsia="Arial" w:hAnsi="Arial"/>
          <w:b/>
          <w:bCs/>
          <w:color w:val="1D1D1B"/>
          <w:sz w:val="21"/>
          <w:szCs w:val="21"/>
        </w:rPr>
        <w:t xml:space="preserve">Showing someone what a staff member or a customer sees (demo only)</w:t>
      </w:r>
    </w:p>
    <w:p>
      <w:pPr>
        <w:spacing w:after="70"/>
      </w:pPr>
      <w:r>
        <w:rPr>
          <w:rFonts w:ascii="Arial" w:cs="Arial" w:eastAsia="Arial" w:hAnsi="Arial"/>
          <w:color w:val="1D1D1B"/>
          <w:sz w:val="18"/>
          <w:szCs w:val="18"/>
        </w:rPr>
        <w:t xml:space="preserve">Your own login is Admin, so for a prospect you may want the simpler views. Two standing demo accounts exist for that. Their sign-in links arrive in the </w:t>
      </w:r>
      <w:r>
        <w:rPr>
          <w:rFonts w:ascii="Arial" w:cs="Arial" w:eastAsia="Arial" w:hAnsi="Arial"/>
          <w:b/>
          <w:bCs/>
          <w:color w:val="1D1D1B"/>
          <w:sz w:val="18"/>
          <w:szCs w:val="18"/>
        </w:rPr>
        <w:t xml:space="preserve">clariqnz@gmail.com</w:t>
      </w:r>
      <w:r>
        <w:rPr>
          <w:rFonts w:ascii="Arial" w:cs="Arial" w:eastAsia="Arial" w:hAnsi="Arial"/>
          <w:color w:val="1D1D1B"/>
          <w:sz w:val="18"/>
          <w:szCs w:val="18"/>
        </w:rPr>
        <w:t xml:space="preserve"> inbox, so you need Greg to share that mailbox password with you (it is the only reason you would need that inbox).</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4892"/>
      </w:tblGrid>
      <w:tr>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35"/>
            </w:pPr>
            <w:r>
              <w:rPr>
                <w:rFonts w:ascii="Arial" w:cs="Arial" w:eastAsia="Arial" w:hAnsi="Arial"/>
                <w:b/>
                <w:bCs/>
                <w:color w:val="1D1D1B"/>
                <w:sz w:val="17"/>
                <w:szCs w:val="17"/>
              </w:rPr>
              <w:t xml:space="preserve">Demo Staff</w:t>
            </w:r>
          </w:p>
        </w:tc>
        <w:tc>
          <w:tcPr>
            <w:tcW w:type="dxa" w:w="3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Courier New" w:cs="Courier New" w:eastAsia="Courier New" w:hAnsi="Courier New"/>
                <w:b/>
                <w:bCs/>
                <w:color w:val="1D1D1B"/>
                <w:sz w:val="18"/>
                <w:szCs w:val="18"/>
              </w:rPr>
              <w:t xml:space="preserve">clariqnz+staff@gmail.com</w:t>
            </w:r>
          </w:p>
        </w:tc>
        <w:tc>
          <w:tcPr>
            <w:tcW w:type="dxa" w:w="4892"/>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35"/>
            </w:pPr>
            <w:r>
              <w:rPr>
                <w:rFonts w:ascii="Arial" w:cs="Arial" w:eastAsia="Arial" w:hAnsi="Arial"/>
                <w:color w:val="1D1D1B"/>
                <w:sz w:val="17"/>
                <w:szCs w:val="17"/>
              </w:rPr>
              <w:t xml:space="preserve">Warehouse operator: scan, fill, dispatch, return, wash, inspect</w:t>
            </w:r>
          </w:p>
        </w:tc>
      </w:tr>
      <w:tr>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35"/>
            </w:pPr>
            <w:r>
              <w:rPr>
                <w:rFonts w:ascii="Arial" w:cs="Arial" w:eastAsia="Arial" w:hAnsi="Arial"/>
                <w:b/>
                <w:bCs/>
                <w:color w:val="1D1D1B"/>
                <w:sz w:val="17"/>
                <w:szCs w:val="17"/>
              </w:rPr>
              <w:t xml:space="preserve">Demo Customer</w:t>
            </w:r>
          </w:p>
        </w:tc>
        <w:tc>
          <w:tcPr>
            <w:tcW w:type="dxa" w:w="3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Courier New" w:cs="Courier New" w:eastAsia="Courier New" w:hAnsi="Courier New"/>
                <w:b/>
                <w:bCs/>
                <w:color w:val="1D1D1B"/>
                <w:sz w:val="18"/>
                <w:szCs w:val="18"/>
              </w:rPr>
              <w:t xml:space="preserve">clariqnz+customer@gmail.com</w:t>
            </w:r>
          </w:p>
        </w:tc>
        <w:tc>
          <w:tcPr>
            <w:tcW w:type="dxa" w:w="4892"/>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35"/>
            </w:pPr>
            <w:r>
              <w:rPr>
                <w:rFonts w:ascii="Arial" w:cs="Arial" w:eastAsia="Arial" w:hAnsi="Arial"/>
                <w:color w:val="1D1D1B"/>
                <w:sz w:val="17"/>
                <w:szCs w:val="17"/>
              </w:rPr>
              <w:t xml:space="preserve">Waikato Dairy Services' own view: their containers, their report, nothing else</w:t>
            </w:r>
          </w:p>
        </w:tc>
      </w:tr>
    </w:tbl>
    <w:p>
      <w:pPr>
        <w:spacing w:after="40" w:line="252"/>
      </w:pPr>
      <w:r>
        <w:rPr>
          <w:rFonts w:ascii="Arial" w:cs="Arial" w:eastAsia="Arial" w:hAnsi="Arial"/>
          <w:color w:val="5A5F63"/>
          <w:sz w:val="15"/>
          <w:szCs w:val="15"/>
        </w:rPr>
        <w:t xml:space="preserve">Type those addresses exactly, plus sign included. If a walk-through leaves the demo in a mess, ask Greg to reset it; it goes back to the identical starting fleet in about ten seconds.</w:t>
      </w:r>
    </w:p>
    <w:p>
      <w:pPr>
        <w:spacing w:after="50" w:before="140"/>
      </w:pPr>
      <w:r>
        <w:rPr>
          <w:rFonts w:ascii="Arial" w:cs="Arial" w:eastAsia="Arial" w:hAnsi="Arial"/>
          <w:b/>
          <w:bCs/>
          <w:color w:val="1D1D1B"/>
          <w:sz w:val="21"/>
          <w:szCs w:val="21"/>
        </w:rPr>
        <w:t xml:space="preserve">About the labels</w:t>
      </w:r>
    </w:p>
    <w:p>
      <w:pPr>
        <w:spacing w:after="60"/>
      </w:pPr>
      <w:r>
        <w:rPr>
          <w:rFonts w:ascii="Arial" w:cs="Arial" w:eastAsia="Arial" w:hAnsi="Arial"/>
          <w:color w:val="1D1D1B"/>
          <w:sz w:val="18"/>
          <w:szCs w:val="18"/>
        </w:rPr>
        <w:t xml:space="preserve">Each container gets a printed QR label (Avery L7060, 63.5 x 38.1 mm) carrying its ID and the web address </w:t>
      </w:r>
      <w:r>
        <w:rPr>
          <w:rFonts w:ascii="Courier New" w:cs="Courier New" w:eastAsia="Courier New" w:hAnsi="Courier New"/>
          <w:b/>
          <w:bCs/>
          <w:color w:val="1D1D1B"/>
          <w:sz w:val="18"/>
          <w:szCs w:val="18"/>
        </w:rPr>
        <w:t xml:space="preserve">clariq-hub.netlify.app/c/CLQ-000001</w:t>
      </w:r>
      <w:r>
        <w:rPr>
          <w:rFonts w:ascii="Arial" w:cs="Arial" w:eastAsia="Arial" w:hAnsi="Arial"/>
          <w:color w:val="1D1D1B"/>
          <w:sz w:val="18"/>
          <w:szCs w:val="18"/>
        </w:rPr>
        <w:t xml:space="preserve">. Anyone who scans it sees "Property of Clariq, please return"; signed-in staff see the full container card and its allowed actions. Because the address is printed, it can never change, which is why the hub site is named once and never renamed. Any test labels printed before 10 September carry an old address and should be thrown away. New labels are created in the hub: Menu, then </w:t>
      </w:r>
      <w:r>
        <w:rPr>
          <w:rFonts w:ascii="Arial" w:cs="Arial" w:eastAsia="Arial" w:hAnsi="Arial"/>
          <w:b/>
          <w:bCs/>
          <w:color w:val="1D1D1B"/>
          <w:sz w:val="18"/>
          <w:szCs w:val="18"/>
        </w:rPr>
        <w:t xml:space="preserve">Print new labels</w:t>
      </w:r>
      <w:r>
        <w:rPr>
          <w:rFonts w:ascii="Arial" w:cs="Arial" w:eastAsia="Arial" w:hAnsi="Arial"/>
          <w:color w:val="1D1D1B"/>
          <w:sz w:val="18"/>
          <w:szCs w:val="18"/>
        </w:rPr>
        <w:t xml:space="preserve">.</w:t>
      </w:r>
    </w:p>
    <w:p>
      <w:pPr>
        <w:spacing w:after="50" w:before="140"/>
      </w:pPr>
      <w:r>
        <w:rPr>
          <w:rFonts w:ascii="Arial" w:cs="Arial" w:eastAsia="Arial" w:hAnsi="Arial"/>
          <w:b/>
          <w:bCs/>
          <w:color w:val="1D1D1B"/>
          <w:sz w:val="21"/>
          <w:szCs w:val="21"/>
        </w:rPr>
        <w:t xml:space="preserve">Three things to remember</w:t>
      </w:r>
    </w:p>
    <w:p>
      <w:pPr>
        <w:pStyle w:val="ListParagraph"/>
        <w:numPr>
          <w:ilvl w:val="0"/>
          <w:numId w:val="3"/>
        </w:numPr>
        <w:spacing w:after="30" w:line="245"/>
      </w:pPr>
      <w:r>
        <w:rPr>
          <w:rFonts w:ascii="Arial" w:cs="Arial" w:eastAsia="Arial" w:hAnsi="Arial"/>
          <w:color w:val="1D1D1B"/>
          <w:sz w:val="18"/>
          <w:szCs w:val="18"/>
        </w:rPr>
        <w:t xml:space="preserve">The hub is real. There is no undo; corrections are recorded as new entries, never by deleting. Take a moment before you confirm an action.</w:t>
      </w:r>
    </w:p>
    <w:p>
      <w:pPr>
        <w:pStyle w:val="ListParagraph"/>
        <w:numPr>
          <w:ilvl w:val="0"/>
          <w:numId w:val="3"/>
        </w:numPr>
        <w:spacing w:after="30" w:line="245"/>
      </w:pPr>
      <w:r>
        <w:rPr>
          <w:rFonts w:ascii="Arial" w:cs="Arial" w:eastAsia="Arial" w:hAnsi="Arial"/>
          <w:color w:val="1D1D1B"/>
          <w:sz w:val="18"/>
          <w:szCs w:val="18"/>
        </w:rPr>
        <w:t xml:space="preserve">If either site shows an error or says the project is paused, do nothing and tell Greg. It is usually a two-minute fix on his side.</w:t>
      </w:r>
    </w:p>
    <w:p>
      <w:pPr>
        <w:pStyle w:val="ListParagraph"/>
        <w:numPr>
          <w:ilvl w:val="0"/>
          <w:numId w:val="3"/>
        </w:numPr>
        <w:spacing w:after="30" w:line="245"/>
      </w:pPr>
      <w:r>
        <w:rPr>
          <w:rFonts w:ascii="Arial" w:cs="Arial" w:eastAsia="Arial" w:hAnsi="Arial"/>
          <w:color w:val="1D1D1B"/>
          <w:sz w:val="18"/>
          <w:szCs w:val="18"/>
        </w:rPr>
        <w:t xml:space="preserve">New features appear on both sites at the same time, so anything you learn in the demo works the same way in the hub.</w:t>
      </w:r>
    </w:p>
    <w:p>
      <w:pPr>
        <w:spacing w:after="40" w:line="252"/>
      </w:pPr>
      <w:r>
        <w:rPr>
          <w:rFonts w:ascii="Arial" w:cs="Arial" w:eastAsia="Arial" w:hAnsi="Arial"/>
          <w:color w:val="5A5F63"/>
          <w:sz w:val="15"/>
          <w:szCs w:val="15"/>
        </w:rPr>
        <w:t xml:space="preserve">Questions: Greg. Reference: docs/Architecture.md section 20 in the clariq-app repository.</w:t>
      </w:r>
    </w:p>
    <w:sectPr>
      <w:pgSz w:w="11906" w:h="16838" w:orient="portrait"/>
      <w:pgMar w:top="680" w:right="907" w:bottom="620"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00"/>
      </w:pPr>
      <w:rPr>
        <w:rFonts w:ascii="Arial" w:cs="Arial" w:eastAsia="Arial" w:hAnsi="Arial"/>
        <w:b/>
        <w:bCs/>
      </w:rPr>
    </w:lvl>
  </w:abstractNum>
  <w:abstractNum w:abstractNumId="3" w15:restartNumberingAfterBreak="0">
    <w:multiLevelType w:val="hybridMultilevel"/>
    <w:lvl w:ilvl="0" w15:tentative="1">
      <w:start w:val="1"/>
      <w:numFmt w:val="decimal"/>
      <w:lvlText w:val="%1."/>
      <w:lvlJc w:val="left"/>
      <w:pPr>
        <w:ind w:left="360" w:hanging="300"/>
      </w:pPr>
      <w:rPr>
        <w:rFonts w:ascii="Arial" w:cs="Arial" w:eastAsia="Arial" w:hAnsi="Arial"/>
        <w:b/>
        <w:bCs/>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1D1B"/>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dda20f5740aab292e83783c83cebfa2c4d36c44.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2026-09-10T08:58:47.426Z</dcterms:created>
  <dcterms:modified xsi:type="dcterms:W3CDTF">2026-09-10T08:58:47.436Z</dcterms:modified>
</cp:coreProperties>
</file>

<file path=docProps/custom.xml><?xml version="1.0" encoding="utf-8"?>
<Properties xmlns="http://schemas.openxmlformats.org/officeDocument/2006/custom-properties" xmlns:vt="http://schemas.openxmlformats.org/officeDocument/2006/docPropsVTypes"/>
</file>