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11111"/>
          <w:sz w:val="32"/>
          <w:szCs w:val="32"/>
        </w:rPr>
        <w:t xml:space="preserve">Brad Friis</w:t>
      </w:r>
    </w:p>
    <w:p>
      <w:pPr>
        <w:spacing w:after="40" w:before="0"/>
      </w:pPr>
      <w:r>
        <w:rPr>
          <w:rFonts w:ascii="Calibri" w:cs="Calibri" w:eastAsia="Calibri" w:hAnsi="Calibri"/>
          <w:b w:val="false"/>
          <w:bCs w:val="false"/>
          <w:i w:val="false"/>
          <w:iCs w:val="false"/>
          <w:color w:val="444444"/>
          <w:sz w:val="20"/>
          <w:szCs w:val="20"/>
        </w:rPr>
        <w:t xml:space="preserve">Partner and Channel Management  |  Vendor Relationships  |  SaaS</w:t>
      </w:r>
    </w:p>
    <w:p>
      <w:pPr>
        <w:spacing w:after="156" w:before="0"/>
      </w:pPr>
      <w:r>
        <w:rPr>
          <w:rFonts w:ascii="Calibri" w:cs="Calibri" w:eastAsia="Calibri" w:hAnsi="Calibri"/>
          <w:b w:val="false"/>
          <w:bCs w:val="false"/>
          <w:i w:val="false"/>
          <w:iCs w:val="false"/>
          <w:color w:val="333333"/>
          <w:sz w:val="20"/>
          <w:szCs w:val="20"/>
        </w:rPr>
        <w:t xml:space="preserve">Auckland, New Zealand  |  +64 22 854 9696  |  brad@clarityengine.co  |  linkedin.com/in/bradfriis</w:t>
      </w:r>
    </w:p>
    <w:p>
      <w:pPr>
        <w:pBdr>
          <w:bottom w:val="single" w:color="BBBBBB" w:sz="6" w:space="3"/>
        </w:pBdr>
        <w:spacing w:after="88" w:before="176"/>
      </w:pPr>
      <w:r>
        <w:rPr>
          <w:rFonts w:ascii="Calibri" w:cs="Calibri" w:eastAsia="Calibri" w:hAnsi="Calibri"/>
          <w:b/>
          <w:bCs/>
          <w:color w:val="111111"/>
          <w:spacing w:val="20"/>
          <w:sz w:val="21"/>
          <w:szCs w:val="21"/>
        </w:rPr>
        <w:t xml:space="preserve">PROFILE</w:t>
      </w:r>
    </w:p>
    <w:p>
      <w:pPr>
        <w:spacing w:after="0" w:before="0"/>
      </w:pPr>
      <w:r>
        <w:rPr>
          <w:rFonts w:ascii="Calibri" w:cs="Calibri" w:eastAsia="Calibri" w:hAnsi="Calibri"/>
          <w:b w:val="false"/>
          <w:bCs w:val="false"/>
          <w:i w:val="false"/>
          <w:iCs w:val="false"/>
          <w:color w:val="222222"/>
          <w:sz w:val="20"/>
          <w:szCs w:val="20"/>
        </w:rPr>
        <w:t xml:space="preserve">Channel and partnership manager with ten years running a United States software vendor’s New Zealand and Australian business as its exclusive local partner. Negotiated exclusive reseller agreements in Australia, the United States and Europe, owned territory pricing, forecasting and the vendor reporting line, and grew the licensed base from 2,800 to 24,500. Comfortable on both sides of a partner relationship: carrying the vendor’s standards into the market, and carrying the market’s reality back to the vendor.</w:t>
      </w:r>
    </w:p>
    <w:p>
      <w:pPr>
        <w:pBdr>
          <w:bottom w:val="single" w:color="BBBBBB" w:sz="6" w:space="3"/>
        </w:pBdr>
        <w:spacing w:after="88" w:before="176"/>
      </w:pPr>
      <w:r>
        <w:rPr>
          <w:rFonts w:ascii="Calibri" w:cs="Calibri" w:eastAsia="Calibri" w:hAnsi="Calibri"/>
          <w:b/>
          <w:bCs/>
          <w:color w:val="111111"/>
          <w:spacing w:val="20"/>
          <w:sz w:val="21"/>
          <w:szCs w:val="21"/>
        </w:rPr>
        <w:t xml:space="preserve">PROFESSIONAL EXPERIENCE</w:t>
      </w:r>
    </w:p>
    <w:p>
      <w:pPr>
        <w:spacing w:after="0" w:before="116"/>
      </w:pPr>
      <w:r>
        <w:rPr>
          <w:rFonts w:ascii="Calibri" w:cs="Calibri" w:eastAsia="Calibri" w:hAnsi="Calibri"/>
          <w:b/>
          <w:bCs/>
          <w:color w:val="111111"/>
          <w:sz w:val="20"/>
          <w:szCs w:val="20"/>
        </w:rPr>
        <w:t xml:space="preserve">Independent Consultant</w:t>
      </w:r>
      <w:r>
        <w:rPr>
          <w:rFonts w:ascii="Calibri" w:cs="Calibri" w:eastAsia="Calibri" w:hAnsi="Calibri"/>
          <w:color w:val="111111"/>
          <w:sz w:val="20"/>
          <w:szCs w:val="20"/>
        </w:rPr>
        <w:t xml:space="preserve">  ·  Clarity Engine AI, Auckland</w:t>
      </w:r>
      <w:r>
        <w:rPr>
          <w:rFonts w:ascii="Calibri" w:cs="Calibri" w:eastAsia="Calibri" w:hAnsi="Calibri"/>
          <w:color w:val="555555"/>
          <w:sz w:val="20"/>
          <w:szCs w:val="20"/>
        </w:rPr>
        <w:t xml:space="preserve">  ·  September 2025 to present</w:t>
      </w:r>
    </w:p>
    <w:p>
      <w:pPr>
        <w:spacing w:after="40" w:before="20"/>
      </w:pPr>
      <w:r>
        <w:rPr>
          <w:rFonts w:ascii="Calibri" w:cs="Calibri" w:eastAsia="Calibri" w:hAnsi="Calibri"/>
          <w:b w:val="false"/>
          <w:bCs w:val="false"/>
          <w:i/>
          <w:iCs/>
          <w:color w:val="555555"/>
          <w:sz w:val="20"/>
          <w:szCs w:val="20"/>
        </w:rPr>
        <w:t xml:space="preserve">Consultancy work for Pikle, an ecommerce product discovery platform, alongside positioning and customer experience engagements with early-stage New Zealand software companies.</w:t>
      </w:r>
    </w:p>
    <w:p>
      <w:pPr>
        <w:pStyle w:val="ListParagraph"/>
        <w:numPr>
          <w:ilvl w:val="0"/>
          <w:numId w:val="2"/>
        </w:numPr>
        <w:spacing w:after="28"/>
      </w:pPr>
      <w:r>
        <w:rPr>
          <w:rFonts w:ascii="Calibri" w:cs="Calibri" w:eastAsia="Calibri" w:hAnsi="Calibri"/>
          <w:color w:val="222222"/>
          <w:sz w:val="20"/>
          <w:szCs w:val="20"/>
        </w:rPr>
        <w:t xml:space="preserve">Set the commercial shape for Pikle: pricing and first-customer posture, proposal templates, CRM pipeline stages, and the appointment-setting and sales asset kit.</w:t>
      </w:r>
    </w:p>
    <w:p>
      <w:pPr>
        <w:pStyle w:val="ListParagraph"/>
        <w:numPr>
          <w:ilvl w:val="0"/>
          <w:numId w:val="2"/>
        </w:numPr>
        <w:spacing w:after="28"/>
      </w:pPr>
      <w:r>
        <w:rPr>
          <w:rFonts w:ascii="Calibri" w:cs="Calibri" w:eastAsia="Calibri" w:hAnsi="Calibri"/>
          <w:color w:val="222222"/>
          <w:sz w:val="20"/>
          <w:szCs w:val="20"/>
        </w:rPr>
        <w:t xml:space="preserve">Built the positioning, messaging framework and sales kit for Pikle, covering pricing structure, four lead channels and a 12-month commercial plan.</w:t>
      </w:r>
    </w:p>
    <w:p>
      <w:pPr>
        <w:pStyle w:val="ListParagraph"/>
        <w:numPr>
          <w:ilvl w:val="0"/>
          <w:numId w:val="2"/>
        </w:numPr>
        <w:spacing w:after="28"/>
      </w:pPr>
      <w:r>
        <w:rPr>
          <w:rFonts w:ascii="Calibri" w:cs="Calibri" w:eastAsia="Calibri" w:hAnsi="Calibri"/>
          <w:color w:val="222222"/>
          <w:sz w:val="20"/>
          <w:szCs w:val="20"/>
        </w:rPr>
        <w:t xml:space="preserve">Produced brand and design governance systems that keep distributed teams and tooling working to a single standard.</w:t>
      </w:r>
    </w:p>
    <w:p>
      <w:pPr>
        <w:spacing w:after="0" w:before="116"/>
      </w:pPr>
      <w:r>
        <w:rPr>
          <w:rFonts w:ascii="Calibri" w:cs="Calibri" w:eastAsia="Calibri" w:hAnsi="Calibri"/>
          <w:b/>
          <w:bCs/>
          <w:color w:val="111111"/>
          <w:sz w:val="20"/>
          <w:szCs w:val="20"/>
        </w:rPr>
        <w:t xml:space="preserve">General Manager, New Zealand and Australia</w:t>
      </w:r>
      <w:r>
        <w:rPr>
          <w:rFonts w:ascii="Calibri" w:cs="Calibri" w:eastAsia="Calibri" w:hAnsi="Calibri"/>
          <w:color w:val="111111"/>
          <w:sz w:val="20"/>
          <w:szCs w:val="20"/>
        </w:rPr>
        <w:t xml:space="preserve">  ·  GCT Education</w:t>
      </w:r>
      <w:r>
        <w:rPr>
          <w:rFonts w:ascii="Calibri" w:cs="Calibri" w:eastAsia="Calibri" w:hAnsi="Calibri"/>
          <w:color w:val="555555"/>
          <w:sz w:val="20"/>
          <w:szCs w:val="20"/>
        </w:rPr>
        <w:t xml:space="preserve">  ·  June 2015 to September 2025</w:t>
      </w:r>
    </w:p>
    <w:p>
      <w:pPr>
        <w:spacing w:after="40" w:before="20"/>
      </w:pPr>
      <w:r>
        <w:rPr>
          <w:rFonts w:ascii="Calibri" w:cs="Calibri" w:eastAsia="Calibri" w:hAnsi="Calibri"/>
          <w:b w:val="false"/>
          <w:bCs w:val="false"/>
          <w:i/>
          <w:iCs/>
          <w:color w:val="555555"/>
          <w:sz w:val="20"/>
          <w:szCs w:val="20"/>
        </w:rPr>
        <w:t xml:space="preserve">Channel partner for PowerSchool Schoology and itslearning across New Zealand and Australia.</w:t>
      </w:r>
    </w:p>
    <w:p>
      <w:pPr>
        <w:pStyle w:val="ListParagraph"/>
        <w:numPr>
          <w:ilvl w:val="0"/>
          <w:numId w:val="2"/>
        </w:numPr>
        <w:spacing w:after="28"/>
      </w:pPr>
      <w:r>
        <w:rPr>
          <w:rFonts w:ascii="Calibri" w:cs="Calibri" w:eastAsia="Calibri" w:hAnsi="Calibri"/>
          <w:color w:val="222222"/>
          <w:sz w:val="20"/>
          <w:szCs w:val="20"/>
        </w:rPr>
        <w:t xml:space="preserve">Negotiated exclusive reseller agreements in Australia, the United States and Europe, and held the vendor channel relationship for ten years.</w:t>
      </w:r>
    </w:p>
    <w:p>
      <w:pPr>
        <w:pStyle w:val="ListParagraph"/>
        <w:numPr>
          <w:ilvl w:val="0"/>
          <w:numId w:val="2"/>
        </w:numPr>
        <w:spacing w:after="28"/>
      </w:pPr>
      <w:r>
        <w:rPr>
          <w:rFonts w:ascii="Calibri" w:cs="Calibri" w:eastAsia="Calibri" w:hAnsi="Calibri"/>
          <w:color w:val="222222"/>
          <w:sz w:val="20"/>
          <w:szCs w:val="20"/>
        </w:rPr>
        <w:t xml:space="preserve">Held sole responsibility for the New Zealand and Australian territory, including pricing, forecasting and the reporting line back to the vendor.</w:t>
      </w:r>
    </w:p>
    <w:p>
      <w:pPr>
        <w:pStyle w:val="ListParagraph"/>
        <w:numPr>
          <w:ilvl w:val="0"/>
          <w:numId w:val="2"/>
        </w:numPr>
        <w:spacing w:after="28"/>
      </w:pPr>
      <w:r>
        <w:rPr>
          <w:rFonts w:ascii="Calibri" w:cs="Calibri" w:eastAsia="Calibri" w:hAnsi="Calibri"/>
          <w:color w:val="222222"/>
          <w:sz w:val="20"/>
          <w:szCs w:val="20"/>
        </w:rPr>
        <w:t xml:space="preserve">Grew the licensed user base from 2,800 to 24,500 across the decade.</w:t>
      </w:r>
    </w:p>
    <w:p>
      <w:pPr>
        <w:pStyle w:val="ListParagraph"/>
        <w:numPr>
          <w:ilvl w:val="0"/>
          <w:numId w:val="2"/>
        </w:numPr>
        <w:spacing w:after="28"/>
      </w:pPr>
      <w:r>
        <w:rPr>
          <w:rFonts w:ascii="Calibri" w:cs="Calibri" w:eastAsia="Calibri" w:hAnsi="Calibri"/>
          <w:color w:val="222222"/>
          <w:sz w:val="20"/>
          <w:szCs w:val="20"/>
        </w:rPr>
        <w:t xml:space="preserve">Ran the partner-side enablement: product training, demo delivery, proposal support and the technical escalation path into the vendor.</w:t>
      </w:r>
    </w:p>
    <w:p>
      <w:pPr>
        <w:pStyle w:val="ListParagraph"/>
        <w:numPr>
          <w:ilvl w:val="0"/>
          <w:numId w:val="2"/>
        </w:numPr>
        <w:spacing w:after="28"/>
      </w:pPr>
      <w:r>
        <w:rPr>
          <w:rFonts w:ascii="Calibri" w:cs="Calibri" w:eastAsia="Calibri" w:hAnsi="Calibri"/>
          <w:color w:val="222222"/>
          <w:sz w:val="20"/>
          <w:szCs w:val="20"/>
        </w:rPr>
        <w:t xml:space="preserve">Directed multi-year licensing agreements, renewal pricing and staggered billing tiers, lifting initial client investment by 30 percent.</w:t>
      </w:r>
    </w:p>
    <w:p>
      <w:pPr>
        <w:pStyle w:val="ListParagraph"/>
        <w:numPr>
          <w:ilvl w:val="0"/>
          <w:numId w:val="2"/>
        </w:numPr>
        <w:spacing w:after="28"/>
      </w:pPr>
      <w:r>
        <w:rPr>
          <w:rFonts w:ascii="Calibri" w:cs="Calibri" w:eastAsia="Calibri" w:hAnsi="Calibri"/>
          <w:color w:val="222222"/>
          <w:sz w:val="20"/>
          <w:szCs w:val="20"/>
        </w:rPr>
        <w:t xml:space="preserve">Retained a five-campus account that was actively evaluating a move to a competitor, then converted it into an expanded investment. Written reference available.</w:t>
      </w:r>
    </w:p>
    <w:p>
      <w:pPr>
        <w:spacing w:after="0" w:before="116"/>
      </w:pPr>
      <w:r>
        <w:rPr>
          <w:rFonts w:ascii="Calibri" w:cs="Calibri" w:eastAsia="Calibri" w:hAnsi="Calibri"/>
          <w:b/>
          <w:bCs/>
          <w:color w:val="111111"/>
          <w:sz w:val="20"/>
          <w:szCs w:val="20"/>
        </w:rPr>
        <w:t xml:space="preserve">National Sales Manager</w:t>
      </w:r>
      <w:r>
        <w:rPr>
          <w:rFonts w:ascii="Calibri" w:cs="Calibri" w:eastAsia="Calibri" w:hAnsi="Calibri"/>
          <w:color w:val="111111"/>
          <w:sz w:val="20"/>
          <w:szCs w:val="20"/>
        </w:rPr>
        <w:t xml:space="preserve">  ·  99 Corporation Ltd, New Zealand and Australia</w:t>
      </w:r>
      <w:r>
        <w:rPr>
          <w:rFonts w:ascii="Calibri" w:cs="Calibri" w:eastAsia="Calibri" w:hAnsi="Calibri"/>
          <w:color w:val="555555"/>
          <w:sz w:val="20"/>
          <w:szCs w:val="20"/>
        </w:rPr>
        <w:t xml:space="preserve">  ·  May 2013 to June 2015</w:t>
      </w:r>
    </w:p>
    <w:p>
      <w:pPr>
        <w:spacing w:after="40" w:before="20"/>
      </w:pPr>
      <w:r>
        <w:rPr>
          <w:rFonts w:ascii="Calibri" w:cs="Calibri" w:eastAsia="Calibri" w:hAnsi="Calibri"/>
          <w:b w:val="false"/>
          <w:bCs w:val="false"/>
          <w:i/>
          <w:iCs/>
          <w:color w:val="555555"/>
          <w:sz w:val="20"/>
          <w:szCs w:val="20"/>
        </w:rPr>
        <w:t xml:space="preserve">Lead generation, marketing and database services for NZ and AU businesses.</w:t>
      </w:r>
    </w:p>
    <w:p>
      <w:pPr>
        <w:pStyle w:val="ListParagraph"/>
        <w:numPr>
          <w:ilvl w:val="0"/>
          <w:numId w:val="2"/>
        </w:numPr>
        <w:spacing w:after="28"/>
      </w:pPr>
      <w:r>
        <w:rPr>
          <w:rFonts w:ascii="Calibri" w:cs="Calibri" w:eastAsia="Calibri" w:hAnsi="Calibri"/>
          <w:color w:val="222222"/>
          <w:sz w:val="20"/>
          <w:szCs w:val="20"/>
        </w:rPr>
        <w:t xml:space="preserve">Won and managed national accounts, scoping business requirements and delivering end-to-end solutions.</w:t>
      </w:r>
    </w:p>
    <w:p>
      <w:pPr>
        <w:spacing w:after="0" w:before="116"/>
      </w:pPr>
      <w:r>
        <w:rPr>
          <w:rFonts w:ascii="Calibri" w:cs="Calibri" w:eastAsia="Calibri" w:hAnsi="Calibri"/>
          <w:b/>
          <w:bCs/>
          <w:color w:val="111111"/>
          <w:sz w:val="20"/>
          <w:szCs w:val="20"/>
        </w:rPr>
        <w:t xml:space="preserve">Earlier career</w:t>
      </w:r>
      <w:r>
        <w:rPr>
          <w:rFonts w:ascii="Calibri" w:cs="Calibri" w:eastAsia="Calibri" w:hAnsi="Calibri"/>
          <w:color w:val="111111"/>
          <w:sz w:val="20"/>
          <w:szCs w:val="20"/>
        </w:rPr>
        <w:t xml:space="preserve">  ·  Advertising, direct marketing and web agencies</w:t>
      </w:r>
      <w:r>
        <w:rPr>
          <w:rFonts w:ascii="Calibri" w:cs="Calibri" w:eastAsia="Calibri" w:hAnsi="Calibri"/>
          <w:color w:val="555555"/>
          <w:sz w:val="20"/>
          <w:szCs w:val="20"/>
        </w:rPr>
        <w:t xml:space="preserve">  ·  1999 to 2013</w:t>
      </w:r>
    </w:p>
    <w:p>
      <w:pPr>
        <w:pStyle w:val="ListParagraph"/>
        <w:numPr>
          <w:ilvl w:val="0"/>
          <w:numId w:val="2"/>
        </w:numPr>
        <w:spacing w:after="28"/>
      </w:pPr>
      <w:r>
        <w:rPr>
          <w:rFonts w:ascii="Calibri" w:cs="Calibri" w:eastAsia="Calibri" w:hAnsi="Calibri"/>
          <w:color w:val="222222"/>
          <w:sz w:val="20"/>
          <w:szCs w:val="20"/>
        </w:rPr>
        <w:t xml:space="preserve">Sales Manager at Adplus Advertising, promoted from Adplus Online after growing the Hawke’s Bay Visitor Guide by over 30 percent a year for three consecutive years and lifting portal advertisers by 60 percent.</w:t>
      </w:r>
    </w:p>
    <w:p>
      <w:pPr>
        <w:pStyle w:val="ListParagraph"/>
        <w:numPr>
          <w:ilvl w:val="0"/>
          <w:numId w:val="2"/>
        </w:numPr>
        <w:spacing w:after="28"/>
      </w:pPr>
      <w:r>
        <w:rPr>
          <w:rFonts w:ascii="Calibri" w:cs="Calibri" w:eastAsia="Calibri" w:hAnsi="Calibri"/>
          <w:color w:val="222222"/>
          <w:sz w:val="20"/>
          <w:szCs w:val="20"/>
        </w:rPr>
        <w:t xml:space="preserve">Sales roles across advertising, direct marketing and website agencies, selling ecommerce and SaaS web projects and B2B campaigns.</w:t>
      </w:r>
    </w:p>
    <w:p>
      <w:pPr>
        <w:pBdr>
          <w:bottom w:val="single" w:color="BBBBBB" w:sz="6" w:space="3"/>
        </w:pBdr>
        <w:spacing w:after="88" w:before="176"/>
      </w:pPr>
      <w:r>
        <w:rPr>
          <w:rFonts w:ascii="Calibri" w:cs="Calibri" w:eastAsia="Calibri" w:hAnsi="Calibri"/>
          <w:b/>
          <w:bCs/>
          <w:color w:val="111111"/>
          <w:spacing w:val="20"/>
          <w:sz w:val="21"/>
          <w:szCs w:val="21"/>
        </w:rPr>
        <w:t xml:space="preserve">SYSTEMS AND TOOLS</w:t>
      </w:r>
    </w:p>
    <w:p>
      <w:pPr>
        <w:spacing w:after="0" w:before="0"/>
      </w:pPr>
      <w:r>
        <w:rPr>
          <w:rFonts w:ascii="Calibri" w:cs="Calibri" w:eastAsia="Calibri" w:hAnsi="Calibri"/>
          <w:b w:val="false"/>
          <w:bCs w:val="false"/>
          <w:i w:val="false"/>
          <w:iCs w:val="false"/>
          <w:color w:val="222222"/>
          <w:sz w:val="20"/>
          <w:szCs w:val="20"/>
        </w:rPr>
        <w:t xml:space="preserve">Salesforce, HubSpot, Pipedrive, Asana, Workflow Max, Microsoft 365, Adobe Creative Suite. Partner enablement, territory forecasting and reseller agreement management.</w:t>
      </w:r>
    </w:p>
    <w:p>
      <w:pPr>
        <w:pBdr>
          <w:bottom w:val="single" w:color="BBBBBB" w:sz="6" w:space="3"/>
        </w:pBdr>
        <w:spacing w:after="88" w:before="176"/>
      </w:pPr>
      <w:r>
        <w:rPr>
          <w:rFonts w:ascii="Calibri" w:cs="Calibri" w:eastAsia="Calibri" w:hAnsi="Calibri"/>
          <w:b/>
          <w:bCs/>
          <w:color w:val="111111"/>
          <w:spacing w:val="20"/>
          <w:sz w:val="21"/>
          <w:szCs w:val="21"/>
        </w:rPr>
        <w:t xml:space="preserve">PROFESSIONAL DEVELOPMENT AND COMMUNITY</w:t>
      </w:r>
    </w:p>
    <w:p>
      <w:pPr>
        <w:spacing w:after="0" w:before="0"/>
      </w:pPr>
      <w:r>
        <w:rPr>
          <w:rFonts w:ascii="Calibri" w:cs="Calibri" w:eastAsia="Calibri" w:hAnsi="Calibri"/>
          <w:b w:val="false"/>
          <w:bCs w:val="false"/>
          <w:i w:val="false"/>
          <w:iCs w:val="false"/>
          <w:color w:val="222222"/>
          <w:sz w:val="20"/>
          <w:szCs w:val="20"/>
        </w:rPr>
        <w:t xml:space="preserve">Solution Selling, Sales Impact Group. Winning with Relationship Selling, Dale Carnegie. Board member, Foodbank Hawke’s Bay and Volunteering New Zealand.</w:t>
      </w:r>
    </w:p>
    <w:p>
      <w:pPr>
        <w:pBdr>
          <w:bottom w:val="single" w:color="BBBBBB" w:sz="6" w:space="3"/>
        </w:pBdr>
        <w:spacing w:after="88" w:before="176"/>
      </w:pPr>
      <w:r>
        <w:rPr>
          <w:rFonts w:ascii="Calibri" w:cs="Calibri" w:eastAsia="Calibri" w:hAnsi="Calibri"/>
          <w:b/>
          <w:bCs/>
          <w:color w:val="111111"/>
          <w:spacing w:val="20"/>
          <w:sz w:val="21"/>
          <w:szCs w:val="21"/>
        </w:rPr>
        <w:t xml:space="preserve">REFERENCES</w:t>
      </w:r>
    </w:p>
    <w:p>
      <w:pPr>
        <w:spacing w:after="0" w:before="0"/>
      </w:pPr>
      <w:r>
        <w:rPr>
          <w:rFonts w:ascii="Calibri" w:cs="Calibri" w:eastAsia="Calibri" w:hAnsi="Calibri"/>
          <w:b w:val="false"/>
          <w:bCs w:val="false"/>
          <w:i w:val="false"/>
          <w:iCs w:val="false"/>
          <w:color w:val="222222"/>
          <w:sz w:val="20"/>
          <w:szCs w:val="20"/>
        </w:rPr>
        <w:t xml:space="preserve">Written references available on request, including a high school principal describing a nine-year relationship and a teaching and learning manager for a five-campus organisation.</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2026-08-06T02:45:04.713Z</dcterms:created>
  <dcterms:modified xsi:type="dcterms:W3CDTF">2026-08-06T02:45:04.713Z</dcterms:modified>
</cp:coreProperties>
</file>

<file path=docProps/custom.xml><?xml version="1.0" encoding="utf-8"?>
<Properties xmlns="http://schemas.openxmlformats.org/officeDocument/2006/custom-properties" xmlns:vt="http://schemas.openxmlformats.org/officeDocument/2006/docPropsVTypes"/>
</file>