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Brad Friis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Account Management  |  Customer Success  |  Professional Services Software</w:t>
      </w:r>
    </w:p>
    <w:p>
      <w:pPr>
        <w:spacing w:after="156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Auckland, New Zealand  |  +64 22 854 9696  |  brad@clarityengine.co  |  linkedin.com/in/bradfriis</w:t>
      </w:r>
    </w:p>
    <w:p>
      <w:pPr>
        <w:pBdr>
          <w:bottom w:val="single" w:color="BBBBBB" w:sz="6" w:space="3"/>
        </w:pBdr>
        <w:spacing w:after="88" w:before="176"/>
      </w:pPr>
      <w:r>
        <w:rPr>
          <w:rFonts w:ascii="Calibri" w:cs="Calibri" w:eastAsia="Calibri" w:hAnsi="Calibri"/>
          <w:b/>
          <w:bCs/>
          <w:color w:val="111111"/>
          <w:spacing w:val="20"/>
          <w:sz w:val="21"/>
          <w:szCs w:val="21"/>
        </w:rPr>
        <w:t xml:space="preserve">PROFILE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Account manager with over 25 years in software and services, specialising in getting busy, non-technical professionals to actually adopt the system they are paying for. Ten years running a software vendor’s New Zealand and Australian business: 2,800 to 24,500 licensed users, a multi-site client unified onto one strategy across five locations, and an account pulled back from an active competitor evaluation. Written references describe the same thing twice: bringing change-resistant staff along without losing the account.</w:t>
      </w:r>
    </w:p>
    <w:p>
      <w:pPr>
        <w:pBdr>
          <w:bottom w:val="single" w:color="BBBBBB" w:sz="6" w:space="3"/>
        </w:pBdr>
        <w:spacing w:after="88" w:before="176"/>
      </w:pPr>
      <w:r>
        <w:rPr>
          <w:rFonts w:ascii="Calibri" w:cs="Calibri" w:eastAsia="Calibri" w:hAnsi="Calibri"/>
          <w:b/>
          <w:bCs/>
          <w:color w:val="111111"/>
          <w:spacing w:val="20"/>
          <w:sz w:val="21"/>
          <w:szCs w:val="21"/>
        </w:rPr>
        <w:t xml:space="preserve">PROFESSIONAL EXPERIENCE</w:t>
      </w:r>
    </w:p>
    <w:p>
      <w:pPr>
        <w:spacing w:after="0" w:before="116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Independent Consultant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  ·  Clarity Engine AI, Auckland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September 2025 to present</w:t>
      </w:r>
    </w:p>
    <w:p>
      <w:pPr>
        <w:spacing w:after="40" w:before="2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Consultancy work for Pikle, an ecommerce product discovery platform, alongside positioning and customer experience engagements with early-stage New Zealand software companies.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the positioning, messaging framework and sales kit for Pikle, covering pricing structure, four lead channels and a 12-month commercial plan.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Delivered a full UX and customer experience audit of the Pikle product console, with a prioritised build order ranked by visible change per unit of work.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Produced brand and design governance systems that keep distributed teams and tooling working to a single standard.</w:t>
      </w:r>
    </w:p>
    <w:p>
      <w:pPr>
        <w:spacing w:after="0" w:before="116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General Manager, New Zealand and Australia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  ·  GCT Education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June 2015 to September 2025</w:t>
      </w:r>
    </w:p>
    <w:p>
      <w:pPr>
        <w:spacing w:after="40" w:before="2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Channel partner for PowerSchool Schoology and itslearning across New Zealand and Australia.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Consulted with leadership to set organisation-wide goals, then worked site by site across a five-campus client to deliver one unified strategy, cutting duplicated effort.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Retained a five-campus account that was actively evaluating a move to a competitor, then converted it into an expanded investment. Written reference available.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the onboarding, training and adoption programme, running hands-on and remote workshops for non-technical staff across the customer base.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Grew the licensed user base from 2,800 to 24,500 across the decade.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Directed multi-year licensing agreements, renewal pricing and staggered billing tiers, lifting initial client investment by 30 percent.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Held accounts through a platform migration, sector reform and the shift to remote delivery, with clients reporting no loss of service continuity.</w:t>
      </w:r>
    </w:p>
    <w:p>
      <w:pPr>
        <w:spacing w:after="0" w:before="116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National Sales Manager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  ·  99 Corporation Ltd, New Zealand and Australia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May 2013 to June 2015</w:t>
      </w:r>
    </w:p>
    <w:p>
      <w:pPr>
        <w:spacing w:after="40" w:before="2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Lead generation, marketing and database services for NZ and AU businesses.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Won and managed national accounts, scoping business requirements and delivering end-to-end solutions.</w:t>
      </w:r>
    </w:p>
    <w:p>
      <w:pPr>
        <w:spacing w:after="0" w:before="116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Earlier career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  ·  Advertising, direct marketing and web agencies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1999 to 2013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Sales Manager at Adplus Advertising, promoted from Adplus Online after growing the Hawke’s Bay Visitor Guide by over 30 percent a year for three consecutive years and lifting portal advertisers by 60 percent.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Sales roles across advertising, direct marketing and website agencies, selling ecommerce and SaaS web projects and B2B campaigns.</w:t>
      </w:r>
    </w:p>
    <w:p>
      <w:pPr>
        <w:pBdr>
          <w:bottom w:val="single" w:color="BBBBBB" w:sz="6" w:space="3"/>
        </w:pBdr>
        <w:spacing w:after="88" w:before="176"/>
      </w:pPr>
      <w:r>
        <w:rPr>
          <w:rFonts w:ascii="Calibri" w:cs="Calibri" w:eastAsia="Calibri" w:hAnsi="Calibri"/>
          <w:b/>
          <w:bCs/>
          <w:color w:val="111111"/>
          <w:spacing w:val="20"/>
          <w:sz w:val="21"/>
          <w:szCs w:val="21"/>
        </w:rPr>
        <w:t xml:space="preserve">SYSTEMS AND TOOLS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Salesforce, HubSpot, Pipedrive, Asana, Workflow Max, Microsoft 365, Adobe Creative Suite. Onboarding and adoption programme design. AI tooling applied to commercial and customer workflows.</w:t>
      </w:r>
    </w:p>
    <w:p>
      <w:pPr>
        <w:pBdr>
          <w:bottom w:val="single" w:color="BBBBBB" w:sz="6" w:space="3"/>
        </w:pBdr>
        <w:spacing w:after="88" w:before="176"/>
      </w:pPr>
      <w:r>
        <w:rPr>
          <w:rFonts w:ascii="Calibri" w:cs="Calibri" w:eastAsia="Calibri" w:hAnsi="Calibri"/>
          <w:b/>
          <w:bCs/>
          <w:color w:val="111111"/>
          <w:spacing w:val="20"/>
          <w:sz w:val="21"/>
          <w:szCs w:val="21"/>
        </w:rPr>
        <w:t xml:space="preserve">PROFESSIONAL DEVELOPMENT AND COMMUNITY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Solution Selling, Sales Impact Group. Winning with Relationship Selling, Dale Carnegie. Board member, Foodbank Hawke’s Bay and Volunteering New Zealand.</w:t>
      </w:r>
    </w:p>
    <w:p>
      <w:pPr>
        <w:pBdr>
          <w:bottom w:val="single" w:color="BBBBBB" w:sz="6" w:space="3"/>
        </w:pBdr>
        <w:spacing w:after="88" w:before="176"/>
      </w:pPr>
      <w:r>
        <w:rPr>
          <w:rFonts w:ascii="Calibri" w:cs="Calibri" w:eastAsia="Calibri" w:hAnsi="Calibri"/>
          <w:b/>
          <w:bCs/>
          <w:color w:val="111111"/>
          <w:spacing w:val="20"/>
          <w:sz w:val="21"/>
          <w:szCs w:val="21"/>
        </w:rPr>
        <w:t xml:space="preserve">REFERENCES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Written references available on request, including a high school principal describing a nine-year relationship and a teaching and learning manager for a five-campus organisation.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2026-08-06T02:45:04.754Z</dcterms:created>
  <dcterms:modified xsi:type="dcterms:W3CDTF">2026-08-06T02:45:04.754Z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