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11111"/>
          <w:sz w:val="32"/>
          <w:szCs w:val="32"/>
        </w:rPr>
        <w:t xml:space="preserve">Brad Friis</w:t>
      </w:r>
    </w:p>
    <w:p>
      <w:pPr>
        <w:spacing w:after="4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20"/>
          <w:szCs w:val="20"/>
        </w:rPr>
        <w:t xml:space="preserve">Account Management  |  Customer Success  |  SaaS and Channel Partnerships</w:t>
      </w:r>
    </w:p>
    <w:p>
      <w:pPr>
        <w:spacing w:after="16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Auckland, New Zealand  |  +64 22 854 9696  |  brad@clarityengine.co  |  linkedin.com/in/bradfriis</w:t>
      </w:r>
    </w:p>
    <w:p>
      <w:pPr>
        <w:pBdr>
          <w:bottom w:val="single" w:color="BBBBBB" w:sz="6" w:space="3"/>
        </w:pBdr>
        <w:spacing w:after="90" w:before="180"/>
      </w:pPr>
      <w:r>
        <w:rPr>
          <w:rFonts w:ascii="Calibri" w:cs="Calibri" w:eastAsia="Calibri" w:hAnsi="Calibri"/>
          <w:b/>
          <w:bCs/>
          <w:color w:val="111111"/>
          <w:spacing w:val="20"/>
          <w:sz w:val="21"/>
          <w:szCs w:val="21"/>
        </w:rPr>
        <w:t xml:space="preserve">PROFILE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Commercial manager with over 25 years in software, media and agency work, ten of them running the New Zealand and Australian business for a United States software vendor’s channel partner. Grew the licensed user base from 2,800 to 24,500, held the vendor relationship for a decade, and kept accounts through platform migrations, sector reform and the shift to remote delivery. Strongest with non-technical customers who need onboarding, adoption support and a clear reason to renew.</w:t>
      </w:r>
    </w:p>
    <w:p>
      <w:pPr>
        <w:pBdr>
          <w:bottom w:val="single" w:color="BBBBBB" w:sz="6" w:space="3"/>
        </w:pBdr>
        <w:spacing w:after="90" w:before="180"/>
      </w:pPr>
      <w:r>
        <w:rPr>
          <w:rFonts w:ascii="Calibri" w:cs="Calibri" w:eastAsia="Calibri" w:hAnsi="Calibri"/>
          <w:b/>
          <w:bCs/>
          <w:color w:val="111111"/>
          <w:spacing w:val="20"/>
          <w:sz w:val="21"/>
          <w:szCs w:val="21"/>
        </w:rPr>
        <w:t xml:space="preserve">PROFESSIONAL EXPERIENCE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Independent Consultant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  ·  Clarity Engine AI, Auckland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September 2025 to present</w:t>
      </w:r>
    </w:p>
    <w:p>
      <w:pPr>
        <w:spacing w:after="40" w:before="2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Consultancy work for Pikle, an ecommerce product discovery platform, alongside positioning and customer experience engagements with early-stage New Zealand software companies.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the positioning, messaging framework and sales kit for Pikle, covering pricing structure, four lead channels and a 12-month commercial plan.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Delivered a full UX and customer experience audit of the Pikle product console, with a prioritised build order ranked by visible change per unit of work.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Produced brand and design governance systems that keep distributed teams and tooling working to a single standard.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General Manager, New Zealand and Australia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  ·  PowerSchool channel partner  ·  education sector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June 2015 to September 2025</w:t>
      </w:r>
    </w:p>
    <w:p>
      <w:pPr>
        <w:spacing w:after="40" w:before="2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Channel partner for PowerSchool Schoology and itslearning across New Zealand and Australia.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Grew the licensed user base from 2,800 to 24,500 across the decade.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Retained a five-campus account that was actively evaluating a move to a competitor, then converted it into an expanded investment. Written reference available.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Negotiated exclusive reseller agreements in Australia, the United States and Europe, and held the vendor channel relationship for ten years.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Directed multi-year licensing agreements, renewal pricing and staggered billing tiers, lifting initial client investment by 30 percent.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the onboarding, training and adoption programme, running hands-on and remote workshops for non-technical staff across the customer base.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Ran the full cycle from prospecting to close: demos, written proposals, pipeline management in Pipedrive, and conference sponsorship and presentation.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National Sales Manager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  ·  99 Corporation Ltd, New Zealand and Australia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May 2013 to June 2015</w:t>
      </w:r>
    </w:p>
    <w:p>
      <w:pPr>
        <w:spacing w:after="40" w:before="20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Lead generation, marketing and database services for NZ and AU businesses.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Won and managed national accounts, scoping business requirements and delivering end-to-end solutions.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Earlier career</w:t>
      </w:r>
      <w:r>
        <w:rPr>
          <w:rFonts w:ascii="Calibri" w:cs="Calibri" w:eastAsia="Calibri" w:hAnsi="Calibri"/>
          <w:color w:val="111111"/>
          <w:sz w:val="20"/>
          <w:szCs w:val="20"/>
        </w:rPr>
        <w:t xml:space="preserve">  ·  Advertising, direct marketing and web agencies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1999 to 2013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Sales Manager at Adplus Advertising, promoted from Adplus Online after growing the Hawke’s Bay Visitor Guide by over 30 percent a year for three consecutive years and lifting portal advertisers by 60 percent.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Sales roles across advertising, direct marketing and website agencies, selling ecommerce and SaaS web projects and B2B campaigns.</w:t>
      </w:r>
    </w:p>
    <w:p>
      <w:pPr>
        <w:pBdr>
          <w:bottom w:val="single" w:color="BBBBBB" w:sz="6" w:space="3"/>
        </w:pBdr>
        <w:spacing w:after="90" w:before="180"/>
      </w:pPr>
      <w:r>
        <w:rPr>
          <w:rFonts w:ascii="Calibri" w:cs="Calibri" w:eastAsia="Calibri" w:hAnsi="Calibri"/>
          <w:b/>
          <w:bCs/>
          <w:color w:val="111111"/>
          <w:spacing w:val="20"/>
          <w:sz w:val="21"/>
          <w:szCs w:val="21"/>
        </w:rPr>
        <w:t xml:space="preserve">SYSTEMS AND TOOLS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Salesforce, HubSpot, Pipedrive, Asana, Workflow Max, Microsoft 365, Adobe Creative Suite. AI tooling applied to commercial and customer workflows.</w:t>
      </w:r>
    </w:p>
    <w:p>
      <w:pPr>
        <w:pBdr>
          <w:bottom w:val="single" w:color="BBBBBB" w:sz="6" w:space="3"/>
        </w:pBdr>
        <w:spacing w:after="90" w:before="180"/>
      </w:pPr>
      <w:r>
        <w:rPr>
          <w:rFonts w:ascii="Calibri" w:cs="Calibri" w:eastAsia="Calibri" w:hAnsi="Calibri"/>
          <w:b/>
          <w:bCs/>
          <w:color w:val="111111"/>
          <w:spacing w:val="20"/>
          <w:sz w:val="21"/>
          <w:szCs w:val="21"/>
        </w:rPr>
        <w:t xml:space="preserve">PROFESSIONAL DEVELOPMENT AND COMMUNITY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Solution Selling, Sales Impact Group. Winning with Relationship Selling, Dale Carnegie. Board member, Foodbank Hawke’s Bay and Volunteering New Zealand.</w:t>
      </w:r>
    </w:p>
    <w:p>
      <w:pPr>
        <w:pBdr>
          <w:bottom w:val="single" w:color="BBBBBB" w:sz="6" w:space="3"/>
        </w:pBdr>
        <w:spacing w:after="90" w:before="180"/>
      </w:pPr>
      <w:r>
        <w:rPr>
          <w:rFonts w:ascii="Calibri" w:cs="Calibri" w:eastAsia="Calibri" w:hAnsi="Calibri"/>
          <w:b/>
          <w:bCs/>
          <w:color w:val="111111"/>
          <w:spacing w:val="20"/>
          <w:sz w:val="21"/>
          <w:szCs w:val="21"/>
        </w:rPr>
        <w:t xml:space="preserve">REFERENCES</w:t>
      </w:r>
    </w:p>
    <w:p>
      <w:pPr>
        <w:spacing w:after="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0"/>
          <w:szCs w:val="20"/>
        </w:rPr>
        <w:t xml:space="preserve">Written references available on request, including a high school principal describing a nine-year relationship and a teaching and learning manager for a five-campus organisation.</w:t>
      </w:r>
    </w:p>
    <w:sectPr>
      <w:pgSz w:w="11906" w:h="16838" w:orient="portrait"/>
      <w:pgMar w:top="720" w:right="892" w:bottom="720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2026-08-06T02:37:51.819Z</dcterms:created>
  <dcterms:modified xsi:type="dcterms:W3CDTF">2026-08-06T02:37:51.837Z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