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32"/>
          <w:szCs w:val="32"/>
        </w:rPr>
        <w:t xml:space="preserve">Brad Friis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Account Management  |  Customer Success  |  Professional Services Software</w:t>
      </w:r>
    </w:p>
    <w:p>
      <w:pPr>
        <w:spacing w:after="156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Auckland, New Zealand  |  +64 22 854 9696  |  brad@clarityengine.co  |  linkedin.com/in/bradfriis</w:t>
      </w:r>
    </w:p>
    <w:p>
      <w:pPr>
        <w:pBdr>
          <w:bottom w:val="single" w:color="BBBBBB" w:sz="6" w:space="3"/>
        </w:pBdr>
        <w:spacing w:after="88" w:before="176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PROFILE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Account manager with over 25 years in software and services, specialising in getting busy, non-technical professionals to actually adopt the system they are paying for. Ten years running a software vendor’s New Zealand and Australian business: 2,800 to 24,500 licensed users, a multi-site client unified onto one strategy across five locations, and an account pulled back from an active competitor evaluation. Written references describe the same thing twice: bringing change-resistant staff along without losing the account.</w:t>
      </w:r>
    </w:p>
    <w:p>
      <w:pPr>
        <w:pBdr>
          <w:bottom w:val="single" w:color="BBBBBB" w:sz="6" w:space="3"/>
        </w:pBdr>
        <w:spacing w:after="88" w:before="176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EXPERIENCE</w:t>
      </w:r>
    </w:p>
    <w:p>
      <w:pPr>
        <w:spacing w:after="0" w:before="116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Independent Consultant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Clarity Engine AI, Auckland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September 2025 to present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Consultancy work for Pikle, an ecommerce product discovery platform, alongside positioning and customer experience engagements with early-stage New Zealand software companies.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positioning, messaging framework and sales kit for Pikle, covering pricing structure, four lead channels and a 12-month commercial plan.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a full UX and customer experience audit of the Pikle product console, with a prioritised build order ranked by visible change per unit of work.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Produced brand and design governance systems that keep distributed teams and tooling working to a single standard.</w:t>
      </w:r>
    </w:p>
    <w:p>
      <w:pPr>
        <w:spacing w:after="0" w:before="116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General Manager, New Zealand and Australia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PowerSchool channel partner  ·  education sector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June 2015 to September 2025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Channel partner for PowerSchool Schoology and itslearning across New Zealand and Australia.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Consulted with leadership to set organisation-wide goals, then worked site by site across a five-campus client to deliver one unified strategy, cutting duplicated effort.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Retained a five-campus account that was actively evaluating a move to a competitor, then converted it into an expanded investment. Written reference available.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onboarding, training and adoption programme, running hands-on and remote workshops for non-technical staff across the customer base.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Grew the licensed user base from 2,800 to 24,500 across the decade.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Directed multi-year licensing agreements, renewal pricing and staggered billing tiers, lifting initial client investment by 30 percent.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Held accounts through a platform migration, sector reform and the shift to remote delivery, with clients reporting no loss of service continuity.</w:t>
      </w:r>
    </w:p>
    <w:p>
      <w:pPr>
        <w:spacing w:after="0" w:before="116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National Sales Manager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99 Corporation Ltd, New Zealand and Australia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May 2013 to June 2015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Lead generation, marketing and database services for NZ and AU businesses.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Won and managed national accounts, scoping business requirements and delivering end-to-end solutions.</w:t>
      </w:r>
    </w:p>
    <w:p>
      <w:pPr>
        <w:spacing w:after="0" w:before="116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Earlier career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Advertising, direct marketing and web agencies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1999 to 2013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Sales Manager at Adplus Advertising, promoted from Adplus Online after growing the Hawke’s Bay Visitor Guide by over 30 percent a year for three consecutive years and lifting portal advertisers by 60 percent.</w:t>
      </w:r>
    </w:p>
    <w:p>
      <w:pPr>
        <w:pStyle w:val="ListParagraph"/>
        <w:numPr>
          <w:ilvl w:val="0"/>
          <w:numId w:val="2"/>
        </w:numPr>
        <w:spacing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Sales roles across advertising, direct marketing and website agencies, selling ecommerce and SaaS web projects and B2B campaigns.</w:t>
      </w:r>
    </w:p>
    <w:p>
      <w:pPr>
        <w:pBdr>
          <w:bottom w:val="single" w:color="BBBBBB" w:sz="6" w:space="3"/>
        </w:pBdr>
        <w:spacing w:after="88" w:before="176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SYSTEMS AND TOOLS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Salesforce, HubSpot, Pipedrive, Asana, Workflow Max, Microsoft 365, Adobe Creative Suite. Onboarding and adoption programme design. AI tooling applied to commercial and customer workflows.</w:t>
      </w:r>
    </w:p>
    <w:p>
      <w:pPr>
        <w:pBdr>
          <w:bottom w:val="single" w:color="BBBBBB" w:sz="6" w:space="3"/>
        </w:pBdr>
        <w:spacing w:after="88" w:before="176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DEVELOPMENT AND COMMUNITY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Solution Selling, Sales Impact Group. Winning with Relationship Selling, Dale Carnegie. Board member, Foodbank Hawke’s Bay and Volunteering New Zealand.</w:t>
      </w:r>
    </w:p>
    <w:p>
      <w:pPr>
        <w:pBdr>
          <w:bottom w:val="single" w:color="BBBBBB" w:sz="6" w:space="3"/>
        </w:pBdr>
        <w:spacing w:after="88" w:before="176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REFERENCES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Written references available on request, including a high school principal describing a nine-year relationship and a teaching and learning manager for a five-campus organisation.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2026-08-06T02:45:04.754Z</dcterms:created>
  <dcterms:modified xsi:type="dcterms:W3CDTF">2026-08-06T02:45:04.754Z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