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Travel Expense Claims</w:t>
      </w:r>
    </w:p>
    <w:p>
      <w:pPr>
        <w:spacing w:after="200"/>
      </w:pPr>
      <w:r>
        <w:rPr>
          <w:color w:val="555555"/>
        </w:rPr>
        <w:t xml:space="preserve">[Company Name] — Sample Template</w:t>
      </w:r>
    </w:p>
    <w:p>
      <w:pPr>
        <w:pBdr>
          <w:top w:val="single" w:color="999999" w:sz="6" w:space="8"/>
          <w:bottom w:val="single" w:color="999999" w:sz="6" w:space="8"/>
        </w:pBdr>
        <w:spacing w:after="240" w:before="120"/>
      </w:pPr>
      <w:r>
        <w:rPr>
          <w:b/>
          <w:bCs/>
          <w:i/>
          <w:iCs/>
          <w:color w:val="555555"/>
        </w:rPr>
        <w:t xml:space="preserve">SAMPLE DOCUMENT — </w:t>
      </w:r>
      <w:r>
        <w:rPr>
          <w:i/>
          <w:iCs/>
          <w:color w:val="555555"/>
        </w:rPr>
        <w:t xml:space="preserve">This is a generic template built for demonstration purposes. All dollar figures, thresholds, and roles are illustrative only and do not reflect the policy of any real organization. Replace all bracketed placeholders and sample figures before any real-world use.</w:t>
      </w:r>
    </w:p>
    <w:p>
      <w:pPr>
        <w:spacing w:after="120"/>
      </w:pPr>
      <w:r>
        <w:rPr>
          <w:b w:val="false"/>
          <w:bCs w:val="false"/>
          <w:i/>
          <w:iCs/>
        </w:rPr>
        <w:t xml:space="preserve">This document explains how to submit and get approval for a claim covering travel-related business expenses, including client entertainment during a trip, receipts, and non-reimbursable items. For travel booking rules, including per diem, mileage, and accommodation, see the companion Travel Expense Policy. For current dollar figures and limits, see Travel Expense Rates.</w:t>
      </w:r>
    </w:p>
    <w:p>
      <w:pPr>
        <w:pStyle w:val="Heading1"/>
        <w:spacing w:after="100" w:before="280"/>
      </w:pPr>
      <w:r>
        <w:t xml:space="preserve">1. Purpose and Scope</w:t>
      </w:r>
    </w:p>
    <w:p>
      <w:pPr>
        <w:spacing w:after="120"/>
      </w:pPr>
      <w:r>
        <w:rPr>
          <w:b w:val="false"/>
          <w:bCs w:val="false"/>
          <w:i w:val="false"/>
          <w:iCs w:val="false"/>
        </w:rPr>
        <w:t xml:space="preserve">This document applies to anyone submitting a claim for travel-related business expenses, including client entertainment during a business trip and other costs incurred while traveling. It does not cover non-travel business purchases, payroll advances, relocation costs, or purchases made through the standard procurement process.</w:t>
      </w:r>
    </w:p>
    <w:p>
      <w:pPr>
        <w:pStyle w:val="Heading1"/>
        <w:spacing w:after="100" w:before="280"/>
      </w:pPr>
      <w:r>
        <w:t xml:space="preserve">2. General Principles</w:t>
      </w:r>
    </w:p>
    <w:p>
      <w:pPr>
        <w:pStyle w:val="ListParagraph"/>
        <w:numPr>
          <w:ilvl w:val="0"/>
          <w:numId w:val="2"/>
        </w:numPr>
        <w:spacing w:after="60"/>
      </w:pPr>
      <w:r>
        <w:t xml:space="preserve">Spend company money as carefully as you would spend your own.</w:t>
      </w:r>
    </w:p>
    <w:p>
      <w:pPr>
        <w:pStyle w:val="ListParagraph"/>
        <w:numPr>
          <w:ilvl w:val="0"/>
          <w:numId w:val="2"/>
        </w:numPr>
        <w:spacing w:after="60"/>
      </w:pPr>
      <w:r>
        <w:t xml:space="preserve">Only claim expenses that are reasonable, necessary, and directly related to the business trip.</w:t>
      </w:r>
    </w:p>
    <w:p>
      <w:pPr>
        <w:pStyle w:val="ListParagraph"/>
        <w:numPr>
          <w:ilvl w:val="0"/>
          <w:numId w:val="2"/>
        </w:numPr>
        <w:spacing w:after="60"/>
      </w:pPr>
      <w:r>
        <w:t xml:space="preserve">Get approval before you spend, not after, whenever the cost is above the pre-approval threshold in Travel Expense Rates.</w:t>
      </w:r>
    </w:p>
    <w:p>
      <w:pPr>
        <w:pStyle w:val="ListParagraph"/>
        <w:numPr>
          <w:ilvl w:val="0"/>
          <w:numId w:val="2"/>
        </w:numPr>
        <w:spacing w:after="60"/>
      </w:pPr>
      <w:r>
        <w:t xml:space="preserve">Keep a receipt for every claim unless this document says otherwise.</w:t>
      </w:r>
    </w:p>
    <w:p>
      <w:pPr>
        <w:pStyle w:val="Heading1"/>
        <w:spacing w:after="100" w:before="280"/>
      </w:pPr>
      <w:r>
        <w:t xml:space="preserve">3. Non-Reimbursable Expenses</w:t>
      </w:r>
    </w:p>
    <w:p>
      <w:pPr>
        <w:spacing w:after="120"/>
      </w:pPr>
      <w:r>
        <w:rPr>
          <w:b w:val="false"/>
          <w:bCs w:val="false"/>
          <w:i w:val="false"/>
          <w:iCs w:val="false"/>
        </w:rPr>
        <w:t xml:space="preserve">The following are never reimbursable, regardless of business purpose:</w:t>
      </w:r>
    </w:p>
    <w:p>
      <w:pPr>
        <w:pStyle w:val="ListParagraph"/>
        <w:numPr>
          <w:ilvl w:val="0"/>
          <w:numId w:val="2"/>
        </w:numPr>
        <w:spacing w:after="60"/>
      </w:pPr>
      <w:r>
        <w:t xml:space="preserve">Personal entertainment while traveling, including movies, streaming services, and gym visits.</w:t>
      </w:r>
    </w:p>
    <w:p>
      <w:pPr>
        <w:pStyle w:val="ListParagraph"/>
        <w:numPr>
          <w:ilvl w:val="0"/>
          <w:numId w:val="2"/>
        </w:numPr>
        <w:spacing w:after="60"/>
      </w:pPr>
      <w:r>
        <w:t xml:space="preserve">Personal grooming, clothing, or luggage.</w:t>
      </w:r>
    </w:p>
    <w:p>
      <w:pPr>
        <w:pStyle w:val="ListParagraph"/>
        <w:numPr>
          <w:ilvl w:val="0"/>
          <w:numId w:val="2"/>
        </w:numPr>
        <w:spacing w:after="60"/>
      </w:pPr>
      <w:r>
        <w:t xml:space="preserve">Loss or theft of personal property while traveling.</w:t>
      </w:r>
    </w:p>
    <w:p>
      <w:pPr>
        <w:pStyle w:val="ListParagraph"/>
        <w:numPr>
          <w:ilvl w:val="0"/>
          <w:numId w:val="2"/>
        </w:numPr>
        <w:spacing w:after="60"/>
      </w:pPr>
      <w:r>
        <w:t xml:space="preserve">Fines, penalties, and late fees of any kind.</w:t>
      </w:r>
    </w:p>
    <w:p>
      <w:pPr>
        <w:pStyle w:val="ListParagraph"/>
        <w:numPr>
          <w:ilvl w:val="0"/>
          <w:numId w:val="2"/>
        </w:numPr>
        <w:spacing w:after="60"/>
      </w:pPr>
      <w:r>
        <w:t xml:space="preserve">Gifts to clients above the limit in Travel Expense Rates, unless pre-approved.</w:t>
      </w:r>
    </w:p>
    <w:p>
      <w:pPr>
        <w:pStyle w:val="Heading1"/>
        <w:spacing w:after="100" w:before="280"/>
      </w:pPr>
      <w:r>
        <w:t xml:space="preserve">4. Client Entertainment While Traveling</w:t>
      </w:r>
    </w:p>
    <w:p>
      <w:pPr>
        <w:pStyle w:val="ListParagraph"/>
        <w:numPr>
          <w:ilvl w:val="0"/>
          <w:numId w:val="2"/>
        </w:numPr>
        <w:spacing w:after="60"/>
      </w:pPr>
      <w:r>
        <w:t xml:space="preserve">Client entertainment during a business trip must have a clear business purpose. Note the client's name, company, and the purpose of the meeting on your claim.</w:t>
      </w:r>
    </w:p>
    <w:p>
      <w:pPr>
        <w:pStyle w:val="ListParagraph"/>
        <w:numPr>
          <w:ilvl w:val="0"/>
          <w:numId w:val="2"/>
        </w:numPr>
        <w:spacing w:after="60"/>
      </w:pPr>
      <w:r>
        <w:t xml:space="preserve">Get pre-approval from your manager for client entertainment expected to exceed the threshold in Travel Expense Rates.</w:t>
      </w:r>
    </w:p>
    <w:p>
      <w:pPr>
        <w:pStyle w:val="ListParagraph"/>
        <w:numPr>
          <w:ilvl w:val="0"/>
          <w:numId w:val="2"/>
        </w:numPr>
        <w:spacing w:after="60"/>
      </w:pPr>
      <w:r>
        <w:t xml:space="preserve">Internal-only events during a trip, such as a team dinner, follow the same approval rules as client entertainment but are subject to a lower per-person limit.</w:t>
      </w:r>
    </w:p>
    <w:p>
      <w:pPr>
        <w:pStyle w:val="ListParagraph"/>
        <w:numPr>
          <w:ilvl w:val="0"/>
          <w:numId w:val="2"/>
        </w:numPr>
        <w:spacing w:after="60"/>
      </w:pPr>
      <w:r>
        <w:t xml:space="preserve">Alcohol is only reimbursable as part of a client entertainment expense, never as part of a personal meal claim.</w:t>
      </w:r>
    </w:p>
    <w:p>
      <w:pPr>
        <w:pStyle w:val="Heading1"/>
        <w:spacing w:after="100" w:before="280"/>
      </w:pPr>
      <w:r>
        <w:t xml:space="preserve">5. Receipts and Documentation</w:t>
      </w:r>
    </w:p>
    <w:p>
      <w:pPr>
        <w:pStyle w:val="ListParagraph"/>
        <w:numPr>
          <w:ilvl w:val="0"/>
          <w:numId w:val="2"/>
        </w:numPr>
        <w:spacing w:after="60"/>
      </w:pPr>
      <w:r>
        <w:t xml:space="preserve">Keep the original itemized receipt for every expense over the no-receipt threshold in Travel Expense Rates.</w:t>
      </w:r>
    </w:p>
    <w:p>
      <w:pPr>
        <w:pStyle w:val="ListParagraph"/>
        <w:numPr>
          <w:ilvl w:val="0"/>
          <w:numId w:val="2"/>
        </w:numPr>
        <w:spacing w:after="60"/>
      </w:pPr>
      <w:r>
        <w:t xml:space="preserve">A credit card statement is not an acceptable substitute for an itemized receipt.</w:t>
      </w:r>
    </w:p>
    <w:p>
      <w:pPr>
        <w:pStyle w:val="ListParagraph"/>
        <w:numPr>
          <w:ilvl w:val="0"/>
          <w:numId w:val="2"/>
        </w:numPr>
        <w:spacing w:after="60"/>
      </w:pPr>
      <w:r>
        <w:t xml:space="preserve">If a receipt is lost, complete a lost receipt declaration and attach it to your claim. Repeated lost receipts may trigger a review.</w:t>
      </w:r>
    </w:p>
    <w:p>
      <w:pPr>
        <w:pStyle w:val="Heading1"/>
        <w:spacing w:after="100" w:before="280"/>
      </w:pPr>
      <w:r>
        <w:t xml:space="preserve">6. Submitting a Claim</w:t>
      </w:r>
    </w:p>
    <w:p>
      <w:pPr>
        <w:pStyle w:val="ListParagraph"/>
        <w:numPr>
          <w:ilvl w:val="0"/>
          <w:numId w:val="2"/>
        </w:numPr>
        <w:spacing w:after="60"/>
      </w:pPr>
      <w:r>
        <w:t xml:space="preserve">Submit expense claims within 30 days of the expense date. Claims submitted after 90 days may be declined.</w:t>
      </w:r>
    </w:p>
    <w:p>
      <w:pPr>
        <w:pStyle w:val="ListParagraph"/>
        <w:numPr>
          <w:ilvl w:val="0"/>
          <w:numId w:val="2"/>
        </w:numPr>
        <w:spacing w:after="60"/>
      </w:pPr>
      <w:r>
        <w:t xml:space="preserve">Attach receipts and a short business purpose for each line item.</w:t>
      </w:r>
    </w:p>
    <w:p>
      <w:pPr>
        <w:pStyle w:val="ListParagraph"/>
        <w:numPr>
          <w:ilvl w:val="0"/>
          <w:numId w:val="2"/>
        </w:numPr>
        <w:spacing w:after="60"/>
      </w:pPr>
      <w:r>
        <w:t xml:space="preserve">Submit claims through [Company Name]'s expense system. Do not email claims directly to finance.</w:t>
      </w:r>
    </w:p>
    <w:p>
      <w:pPr>
        <w:pStyle w:val="Heading1"/>
        <w:spacing w:after="100" w:before="280"/>
      </w:pPr>
      <w:r>
        <w:t xml:space="preserve">7. Approval Requirements</w:t>
      </w:r>
    </w:p>
    <w:p>
      <w:pPr>
        <w:pStyle w:val="ListParagraph"/>
        <w:numPr>
          <w:ilvl w:val="0"/>
          <w:numId w:val="2"/>
        </w:numPr>
        <w:spacing w:after="60"/>
      </w:pPr>
      <w:r>
        <w:t xml:space="preserve">Your direct manager approves standard expense claims.</w:t>
      </w:r>
    </w:p>
    <w:p>
      <w:pPr>
        <w:pStyle w:val="ListParagraph"/>
        <w:numPr>
          <w:ilvl w:val="0"/>
          <w:numId w:val="2"/>
        </w:numPr>
        <w:spacing w:after="60"/>
      </w:pPr>
      <w:r>
        <w:t xml:space="preserve">Claims that include an exception require a second approval from a director or above.</w:t>
      </w:r>
    </w:p>
    <w:p>
      <w:pPr>
        <w:pStyle w:val="ListParagraph"/>
        <w:numPr>
          <w:ilvl w:val="0"/>
          <w:numId w:val="2"/>
        </w:numPr>
        <w:spacing w:after="60"/>
      </w:pPr>
      <w:r>
        <w:t xml:space="preserve">Finance may return a claim for correction if documentation is incomplete. This does not require manager re-approval unless the dollar amount changes.</w:t>
      </w:r>
    </w:p>
    <w:p>
      <w:pPr>
        <w:pStyle w:val="Heading1"/>
        <w:spacing w:after="100" w:before="280"/>
      </w:pPr>
      <w:r>
        <w:t xml:space="preserve">8. Policy Exceptions and Non-Compliance</w:t>
      </w:r>
    </w:p>
    <w:p>
      <w:pPr>
        <w:pStyle w:val="ListParagraph"/>
        <w:numPr>
          <w:ilvl w:val="0"/>
          <w:numId w:val="2"/>
        </w:numPr>
        <w:spacing w:after="60"/>
      </w:pPr>
      <w:r>
        <w:t xml:space="preserve">Any exception to this document needs written pre-approval before the expense is incurred, not after.</w:t>
      </w:r>
    </w:p>
    <w:p>
      <w:pPr>
        <w:pStyle w:val="ListParagraph"/>
        <w:numPr>
          <w:ilvl w:val="0"/>
          <w:numId w:val="2"/>
        </w:numPr>
        <w:spacing w:after="60"/>
      </w:pPr>
      <w:r>
        <w:t xml:space="preserve">Repeated non-compliance, including missing receipts or personal charges submitted as business expenses, may result in a declined claim and disciplinary review.</w:t>
      </w:r>
    </w:p>
    <w:p>
      <w:pPr>
        <w:pStyle w:val="Heading1"/>
        <w:spacing w:after="100" w:before="280"/>
      </w:pPr>
      <w:r>
        <w:t xml:space="preserve">9. Related Documents</w:t>
      </w:r>
    </w:p>
    <w:p>
      <w:pPr>
        <w:pStyle w:val="ListParagraph"/>
        <w:numPr>
          <w:ilvl w:val="0"/>
          <w:numId w:val="2"/>
        </w:numPr>
        <w:spacing w:after="60"/>
      </w:pPr>
      <w:r>
        <w:t xml:space="preserve">Travel Expense Policy (booking, per diem, mileage, and accommodation rules)</w:t>
      </w:r>
    </w:p>
    <w:p>
      <w:pPr>
        <w:pStyle w:val="ListParagraph"/>
        <w:numPr>
          <w:ilvl w:val="0"/>
          <w:numId w:val="2"/>
        </w:numPr>
        <w:spacing w:after="60"/>
      </w:pPr>
      <w:r>
        <w:t xml:space="preserve">Travel Expense Rates (current dollar figures and limits)</w:t>
      </w:r>
    </w:p>
    <w:p>
      <w:pPr>
        <w:pStyle w:val="ListParagraph"/>
        <w:numPr>
          <w:ilvl w:val="0"/>
          <w:numId w:val="2"/>
        </w:numPr>
        <w:spacing w:after="60"/>
      </w:pPr>
      <w:r>
        <w:t xml:space="preserve">Procurement Policy</w:t>
      </w:r>
    </w:p>
    <w:p>
      <w:pPr>
        <w:pStyle w:val="ListParagraph"/>
        <w:numPr>
          <w:ilvl w:val="0"/>
          <w:numId w:val="2"/>
        </w:numPr>
        <w:spacing w:after="60"/>
      </w:pPr>
      <w:r>
        <w:t xml:space="preserve">Delegation of Authority</w:t>
      </w:r>
    </w:p>
    <w:p>
      <w:pPr>
        <w:pStyle w:val="Heading1"/>
        <w:spacing w:after="100" w:before="280"/>
      </w:pPr>
      <w:r>
        <w:t xml:space="preserve">Document Control</w:t>
      </w:r>
    </w:p>
    <w:p>
      <w:pPr>
        <w:pStyle w:val="ListParagraph"/>
        <w:numPr>
          <w:ilvl w:val="0"/>
          <w:numId w:val="2"/>
        </w:numPr>
        <w:spacing w:after="60"/>
      </w:pPr>
      <w:r>
        <w:t xml:space="preserve">Document owner: [Role, e.g., Director of Finance]</w:t>
      </w:r>
    </w:p>
    <w:p>
      <w:pPr>
        <w:pStyle w:val="ListParagraph"/>
        <w:numPr>
          <w:ilvl w:val="0"/>
          <w:numId w:val="2"/>
        </w:numPr>
        <w:spacing w:after="60"/>
      </w:pPr>
      <w:r>
        <w:t xml:space="preserve">Effective date: [Date]</w:t>
      </w:r>
    </w:p>
    <w:p>
      <w:pPr>
        <w:pStyle w:val="ListParagraph"/>
        <w:numPr>
          <w:ilvl w:val="0"/>
          <w:numId w:val="2"/>
        </w:numPr>
        <w:spacing w:after="60"/>
      </w:pPr>
      <w:r>
        <w:t xml:space="preserve">Last reviewed: [Date]</w:t>
      </w:r>
    </w:p>
    <w:p>
      <w:pPr>
        <w:pStyle w:val="ListParagraph"/>
        <w:numPr>
          <w:ilvl w:val="0"/>
          <w:numId w:val="2"/>
        </w:numPr>
        <w:spacing w:after="60"/>
      </w:pPr>
      <w:r>
        <w:t xml:space="preserve">Next review due: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2026-07-12T15:13:25.139Z</dcterms:created>
  <dcterms:modified xsi:type="dcterms:W3CDTF">2026-07-12T15:13:25.147Z</dcterms:modified>
</cp:coreProperties>
</file>

<file path=docProps/custom.xml><?xml version="1.0" encoding="utf-8"?>
<Properties xmlns="http://schemas.openxmlformats.org/officeDocument/2006/custom-properties" xmlns:vt="http://schemas.openxmlformats.org/officeDocument/2006/docPropsVTypes"/>
</file>