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Travel Expense Policy</w:t>
      </w:r>
    </w:p>
    <w:p>
      <w:pPr>
        <w:spacing w:after="200"/>
      </w:pPr>
      <w:r>
        <w:rPr>
          <w:color w:val="555555"/>
        </w:rPr>
        <w:t xml:space="preserve">[Company Name] — Sample Template</w:t>
      </w:r>
    </w:p>
    <w:p>
      <w:pPr>
        <w:pBdr>
          <w:top w:val="single" w:color="999999" w:sz="6" w:space="8"/>
          <w:bottom w:val="single" w:color="999999" w:sz="6" w:space="8"/>
        </w:pBdr>
        <w:spacing w:after="240" w:before="120"/>
      </w:pPr>
      <w:r>
        <w:rPr>
          <w:b/>
          <w:bCs/>
          <w:i/>
          <w:iCs/>
          <w:color w:val="555555"/>
        </w:rPr>
        <w:t xml:space="preserve">SAMPLE DOCUMENT — </w:t>
      </w:r>
      <w:r>
        <w:rPr>
          <w:i/>
          <w:iCs/>
          <w:color w:val="555555"/>
        </w:rPr>
        <w:t xml:space="preserve">This is a generic template built for demonstration purposes. All dollar figures, thresholds, and roles are illustrative only and do not reflect the policy of any real organization. Replace all bracketed placeholders and sample figures before any real-world use.</w:t>
      </w:r>
    </w:p>
    <w:p>
      <w:pPr>
        <w:spacing w:after="120"/>
      </w:pPr>
      <w:r>
        <w:rPr>
          <w:b w:val="false"/>
          <w:bCs w:val="false"/>
          <w:i/>
          <w:iCs/>
        </w:rPr>
        <w:t xml:space="preserve">This document explains how to book business travel and what travel-related costs [Company Name] will reimburse, including meals, mileage, and accommodation while traveling. For the claims and approval process, including client entertainment during a trip and receipt requirements, see the companion Travel Expense Claims document. For current dollar figures and limits, see Travel Expense Rates.</w:t>
      </w:r>
    </w:p>
    <w:p>
      <w:pPr>
        <w:pStyle w:val="Heading1"/>
        <w:spacing w:after="100" w:before="280"/>
      </w:pPr>
      <w:r>
        <w:t xml:space="preserve">1. Purpose and Scope</w:t>
      </w:r>
    </w:p>
    <w:p>
      <w:pPr>
        <w:spacing w:after="120"/>
      </w:pPr>
      <w:r>
        <w:rPr>
          <w:b w:val="false"/>
          <w:bCs w:val="false"/>
          <w:i w:val="false"/>
          <w:iCs w:val="false"/>
        </w:rPr>
        <w:t xml:space="preserve">This document applies to anyone booking or claiming costs for business travel, including flights, mileage, accommodation, and meals while away from the regular workplace. Claims and approval rules are covered in Travel Expense Claims.</w:t>
      </w:r>
    </w:p>
    <w:p>
      <w:pPr>
        <w:pStyle w:val="Heading1"/>
        <w:spacing w:after="100" w:before="280"/>
      </w:pPr>
      <w:r>
        <w:t xml:space="preserve">2. Before You Travel</w:t>
      </w:r>
    </w:p>
    <w:p>
      <w:pPr>
        <w:pStyle w:val="ListParagraph"/>
        <w:numPr>
          <w:ilvl w:val="0"/>
          <w:numId w:val="2"/>
        </w:numPr>
        <w:spacing w:after="60"/>
      </w:pPr>
      <w:r>
        <w:t xml:space="preserve">Get your manager's approval before booking any trip that includes airfare, a rental car, or more than one night of accommodation.</w:t>
      </w:r>
    </w:p>
    <w:p>
      <w:pPr>
        <w:pStyle w:val="ListParagraph"/>
        <w:numPr>
          <w:ilvl w:val="0"/>
          <w:numId w:val="2"/>
        </w:numPr>
        <w:spacing w:after="60"/>
      </w:pPr>
      <w:r>
        <w:t xml:space="preserve">Book through [Company Name]'s designated travel booking channel when one is available.</w:t>
      </w:r>
    </w:p>
    <w:p>
      <w:pPr>
        <w:pStyle w:val="ListParagraph"/>
        <w:numPr>
          <w:ilvl w:val="0"/>
          <w:numId w:val="2"/>
        </w:numPr>
        <w:spacing w:after="60"/>
      </w:pPr>
      <w:r>
        <w:t xml:space="preserve">Choose economy class for flights under the duration limit in Travel Expense Rates. Any exception, including an upgrade to business or first class, needs written approval from a director or above before booking.</w:t>
      </w:r>
    </w:p>
    <w:p>
      <w:pPr>
        <w:pStyle w:val="ListParagraph"/>
        <w:numPr>
          <w:ilvl w:val="0"/>
          <w:numId w:val="2"/>
        </w:numPr>
        <w:spacing w:after="60"/>
      </w:pPr>
      <w:r>
        <w:t xml:space="preserve">Book accommodation at or below the nightly limit in Travel Expense Rates. If the only reasonable option costs more, explain why in your expense claim.</w:t>
      </w:r>
    </w:p>
    <w:p>
      <w:pPr>
        <w:pStyle w:val="Heading1"/>
        <w:spacing w:after="100" w:before="280"/>
      </w:pPr>
      <w:r>
        <w:t xml:space="preserve">3. Meals and Per Diem While Traveling</w:t>
      </w:r>
    </w:p>
    <w:p>
      <w:pPr>
        <w:pStyle w:val="ListParagraph"/>
        <w:numPr>
          <w:ilvl w:val="0"/>
          <w:numId w:val="2"/>
        </w:numPr>
        <w:spacing w:after="60"/>
      </w:pPr>
      <w:r>
        <w:t xml:space="preserve">Use the flat per diem rate for overnight business travel. It covers breakfast, lunch, and dinner, and no meal receipts are required if you claim it.</w:t>
      </w:r>
    </w:p>
    <w:p>
      <w:pPr>
        <w:pStyle w:val="ListParagraph"/>
        <w:numPr>
          <w:ilvl w:val="0"/>
          <w:numId w:val="2"/>
        </w:numPr>
        <w:spacing w:after="60"/>
      </w:pPr>
      <w:r>
        <w:t xml:space="preserve">If you prefer to claim actual meal costs instead of the per diem, keep itemized receipts and stay within the daily maximum in Travel Expense Rates.</w:t>
      </w:r>
    </w:p>
    <w:p>
      <w:pPr>
        <w:pStyle w:val="ListParagraph"/>
        <w:numPr>
          <w:ilvl w:val="0"/>
          <w:numId w:val="2"/>
        </w:numPr>
        <w:spacing w:after="60"/>
      </w:pPr>
      <w:r>
        <w:t xml:space="preserve">Alcohol is only reimbursable as part of a client entertainment expense. See Travel Expense Claims for client entertainment rules.</w:t>
      </w:r>
    </w:p>
    <w:p>
      <w:pPr>
        <w:pStyle w:val="Heading1"/>
        <w:spacing w:after="100" w:before="280"/>
      </w:pPr>
      <w:r>
        <w:t xml:space="preserve">4. Mileage and Personal Vehicle Use</w:t>
      </w:r>
    </w:p>
    <w:p>
      <w:pPr>
        <w:pStyle w:val="ListParagraph"/>
        <w:numPr>
          <w:ilvl w:val="0"/>
          <w:numId w:val="2"/>
        </w:numPr>
        <w:spacing w:after="60"/>
      </w:pPr>
      <w:r>
        <w:t xml:space="preserve">Claim mileage when you use your personal vehicle for business travel, using the current per-kilometre rate in Travel Expense Rates.</w:t>
      </w:r>
    </w:p>
    <w:p>
      <w:pPr>
        <w:pStyle w:val="ListParagraph"/>
        <w:numPr>
          <w:ilvl w:val="0"/>
          <w:numId w:val="2"/>
        </w:numPr>
        <w:spacing w:after="60"/>
      </w:pPr>
      <w:r>
        <w:t xml:space="preserve">Mileage is calculated from your regular workplace to the business destination, not from your home, unless your manager pre-approves an exception.</w:t>
      </w:r>
    </w:p>
    <w:p>
      <w:pPr>
        <w:pStyle w:val="ListParagraph"/>
        <w:numPr>
          <w:ilvl w:val="0"/>
          <w:numId w:val="2"/>
        </w:numPr>
        <w:spacing w:after="60"/>
      </w:pPr>
      <w:r>
        <w:t xml:space="preserve">Parking, tolls, and vehicle rental fees are reimbursable with a receipt. Traffic and parking fines are not.</w:t>
      </w:r>
    </w:p>
    <w:p>
      <w:pPr>
        <w:pStyle w:val="Heading1"/>
        <w:spacing w:after="100" w:before="280"/>
      </w:pPr>
      <w:r>
        <w:t xml:space="preserve">5. Accommodation</w:t>
      </w:r>
    </w:p>
    <w:p>
      <w:pPr>
        <w:pStyle w:val="ListParagraph"/>
        <w:numPr>
          <w:ilvl w:val="0"/>
          <w:numId w:val="2"/>
        </w:numPr>
        <w:spacing w:after="60"/>
      </w:pPr>
      <w:r>
        <w:t xml:space="preserve">Book standard hotel rooms. Suites, upgrades, and premium room categories are not reimbursable unless required for accessibility or safety reasons.</w:t>
      </w:r>
    </w:p>
    <w:p>
      <w:pPr>
        <w:pStyle w:val="ListParagraph"/>
        <w:numPr>
          <w:ilvl w:val="0"/>
          <w:numId w:val="2"/>
        </w:numPr>
        <w:spacing w:after="60"/>
      </w:pPr>
      <w:r>
        <w:t xml:space="preserve">Personal charges at a hotel, including movies, minibar items, and spa services, are not reimbursable.</w:t>
      </w:r>
    </w:p>
    <w:p>
      <w:pPr>
        <w:pStyle w:val="ListParagraph"/>
        <w:numPr>
          <w:ilvl w:val="0"/>
          <w:numId w:val="2"/>
        </w:numPr>
        <w:spacing w:after="60"/>
      </w:pPr>
      <w:r>
        <w:t xml:space="preserve">If you stay with family or friends instead of booking a hotel, you may claim a small daily allowance. See Travel Expense Rates.</w:t>
      </w:r>
    </w:p>
    <w:p>
      <w:pPr>
        <w:pStyle w:val="Heading1"/>
        <w:spacing w:after="100" w:before="280"/>
      </w:pPr>
      <w:r>
        <w:t xml:space="preserve">6. Air Travel</w:t>
      </w:r>
    </w:p>
    <w:p>
      <w:pPr>
        <w:pStyle w:val="ListParagraph"/>
        <w:numPr>
          <w:ilvl w:val="0"/>
          <w:numId w:val="2"/>
        </w:numPr>
        <w:spacing w:after="60"/>
      </w:pPr>
      <w:r>
        <w:t xml:space="preserve">Economy class is required for flights under the duration limit in Travel Expense Rates.</w:t>
      </w:r>
    </w:p>
    <w:p>
      <w:pPr>
        <w:pStyle w:val="ListParagraph"/>
        <w:numPr>
          <w:ilvl w:val="0"/>
          <w:numId w:val="2"/>
        </w:numPr>
        <w:spacing w:after="60"/>
      </w:pPr>
      <w:r>
        <w:t xml:space="preserve">Business class requires director-level pre-approval above that limit.</w:t>
      </w:r>
    </w:p>
    <w:p>
      <w:pPr>
        <w:pStyle w:val="ListParagraph"/>
        <w:numPr>
          <w:ilvl w:val="0"/>
          <w:numId w:val="2"/>
        </w:numPr>
        <w:spacing w:after="60"/>
      </w:pPr>
      <w:r>
        <w:t xml:space="preserve">Frequent flyer points and travel rewards earned on business trips belong to the traveler personally, but the underlying booking must still follow this policy.</w:t>
      </w:r>
    </w:p>
    <w:p>
      <w:pPr>
        <w:pStyle w:val="Heading1"/>
        <w:spacing w:after="100" w:before="280"/>
      </w:pPr>
      <w:r>
        <w:t xml:space="preserve">7. Submitting a Travel Claim</w:t>
      </w:r>
    </w:p>
    <w:p>
      <w:pPr>
        <w:pStyle w:val="ListParagraph"/>
        <w:numPr>
          <w:ilvl w:val="0"/>
          <w:numId w:val="2"/>
        </w:numPr>
        <w:spacing w:after="60"/>
      </w:pPr>
      <w:r>
        <w:t xml:space="preserve">Submit travel claims within 30 days of your return date. Claims submitted after 90 days may be declined.</w:t>
      </w:r>
    </w:p>
    <w:p>
      <w:pPr>
        <w:pStyle w:val="ListParagraph"/>
        <w:numPr>
          <w:ilvl w:val="0"/>
          <w:numId w:val="2"/>
        </w:numPr>
        <w:spacing w:after="60"/>
      </w:pPr>
      <w:r>
        <w:t xml:space="preserve">Attach receipts, boarding passes or itineraries, and a short business purpose for each trip.</w:t>
      </w:r>
    </w:p>
    <w:p>
      <w:pPr>
        <w:pStyle w:val="ListParagraph"/>
        <w:numPr>
          <w:ilvl w:val="0"/>
          <w:numId w:val="2"/>
        </w:numPr>
        <w:spacing w:after="60"/>
      </w:pPr>
      <w:r>
        <w:t xml:space="preserve">Submit claims through [Company Name]'s expense system. General submission and approval rules are covered in Travel Expense Claims.</w:t>
      </w:r>
    </w:p>
    <w:p>
      <w:pPr>
        <w:pStyle w:val="Heading1"/>
        <w:spacing w:after="100" w:before="280"/>
      </w:pPr>
      <w:r>
        <w:t xml:space="preserve">8. Related Documents</w:t>
      </w:r>
    </w:p>
    <w:p>
      <w:pPr>
        <w:pStyle w:val="ListParagraph"/>
        <w:numPr>
          <w:ilvl w:val="0"/>
          <w:numId w:val="2"/>
        </w:numPr>
        <w:spacing w:after="60"/>
      </w:pPr>
      <w:r>
        <w:t xml:space="preserve">Travel Expense Claims (claims process, entertainment, receipts, approvals)</w:t>
      </w:r>
    </w:p>
    <w:p>
      <w:pPr>
        <w:pStyle w:val="ListParagraph"/>
        <w:numPr>
          <w:ilvl w:val="0"/>
          <w:numId w:val="2"/>
        </w:numPr>
        <w:spacing w:after="60"/>
      </w:pPr>
      <w:r>
        <w:t xml:space="preserve">Travel Expense Rates (current dollar figures and limits)</w:t>
      </w:r>
    </w:p>
    <w:p>
      <w:pPr>
        <w:pStyle w:val="ListParagraph"/>
        <w:numPr>
          <w:ilvl w:val="0"/>
          <w:numId w:val="2"/>
        </w:numPr>
        <w:spacing w:after="60"/>
      </w:pPr>
      <w:r>
        <w:t xml:space="preserve">Delegation of Authority</w:t>
      </w:r>
    </w:p>
    <w:p>
      <w:pPr>
        <w:pStyle w:val="Heading1"/>
        <w:spacing w:after="100" w:before="280"/>
      </w:pPr>
      <w:r>
        <w:t xml:space="preserve">Document Control</w:t>
      </w:r>
    </w:p>
    <w:p>
      <w:pPr>
        <w:pStyle w:val="ListParagraph"/>
        <w:numPr>
          <w:ilvl w:val="0"/>
          <w:numId w:val="2"/>
        </w:numPr>
        <w:spacing w:after="60"/>
      </w:pPr>
      <w:r>
        <w:t xml:space="preserve">Document owner: [Role, e.g., Director of Finance]</w:t>
      </w:r>
    </w:p>
    <w:p>
      <w:pPr>
        <w:pStyle w:val="ListParagraph"/>
        <w:numPr>
          <w:ilvl w:val="0"/>
          <w:numId w:val="2"/>
        </w:numPr>
        <w:spacing w:after="60"/>
      </w:pPr>
      <w:r>
        <w:t xml:space="preserve">Effective date: [Date]</w:t>
      </w:r>
    </w:p>
    <w:p>
      <w:pPr>
        <w:pStyle w:val="ListParagraph"/>
        <w:numPr>
          <w:ilvl w:val="0"/>
          <w:numId w:val="2"/>
        </w:numPr>
        <w:spacing w:after="60"/>
      </w:pPr>
      <w:r>
        <w:t xml:space="preserve">Last reviewed: [Date]</w:t>
      </w:r>
    </w:p>
    <w:p>
      <w:pPr>
        <w:pStyle w:val="ListParagraph"/>
        <w:numPr>
          <w:ilvl w:val="0"/>
          <w:numId w:val="2"/>
        </w:numPr>
        <w:spacing w:after="60"/>
      </w:pPr>
      <w:r>
        <w:t xml:space="preserve">Next review due: [Date]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2026-07-12T15:13:25.190Z</dcterms:created>
  <dcterms:modified xsi:type="dcterms:W3CDTF">2026-07-12T15:13:25.190Z</dcterms:modified>
</cp:coreProperties>
</file>

<file path=docProps/custom.xml><?xml version="1.0" encoding="utf-8"?>
<Properties xmlns="http://schemas.openxmlformats.org/officeDocument/2006/custom-properties" xmlns:vt="http://schemas.openxmlformats.org/officeDocument/2006/docPropsVTypes"/>
</file>