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rFonts w:ascii="Arial" w:cs="Arial" w:eastAsia="Arial" w:hAnsi="Arial"/>
          <w:b/>
          <w:bCs/>
          <w:sz w:val="48"/>
          <w:szCs w:val="48"/>
        </w:rPr>
        <w:t xml:space="preserve">Real-Money Portfolio Analytics</w:t>
      </w:r>
    </w:p>
    <w:p>
      <w:pPr>
        <w:spacing w:after="240"/>
        <w:jc w:val="center"/>
      </w:pPr>
      <w:r>
        <w:rPr>
          <w:rFonts w:ascii="Arial" w:cs="Arial" w:eastAsia="Arial" w:hAnsi="Arial"/>
          <w:color w:val="2E75B5"/>
          <w:sz w:val="32"/>
          <w:szCs w:val="32"/>
        </w:rPr>
        <w:t xml:space="preserve">Managing $500K in Student Investment Capital</w:t>
      </w:r>
    </w:p>
    <w:p>
      <w:pPr>
        <w:spacing w:after="1440"/>
        <w:jc w:val="center"/>
      </w:pPr>
      <w:r>
        <w:rPr>
          <w:rFonts w:ascii="Arial" w:cs="Arial" w:eastAsia="Arial" w:hAnsi="Arial"/>
          <w:i/>
          <w:iCs/>
          <w:sz w:val="28"/>
          <w:szCs w:val="28"/>
        </w:rPr>
        <w:t xml:space="preserve">What Backtests Don't Tell You</w:t>
      </w:r>
    </w:p>
    <w:p>
      <w:pPr>
        <w:spacing w:after="120"/>
        <w:jc w:val="center"/>
      </w:pPr>
      <w:r>
        <w:rPr>
          <w:b/>
          <w:bCs/>
          <w:sz w:val="24"/>
          <w:szCs w:val="24"/>
        </w:rPr>
        <w:t xml:space="preserve">Rufaro</w:t>
      </w:r>
    </w:p>
    <w:p>
      <w:pPr>
        <w:spacing w:after="60"/>
        <w:jc w:val="center"/>
      </w:pPr>
      <w:r>
        <w:rPr>
          <w:sz w:val="22"/>
          <w:szCs w:val="22"/>
        </w:rPr>
        <w:t xml:space="preserve">Graduate Student, Applied Data Science</w:t>
      </w:r>
    </w:p>
    <w:p>
      <w:pPr>
        <w:spacing w:after="60"/>
        <w:jc w:val="center"/>
      </w:pPr>
      <w:r>
        <w:rPr>
          <w:sz w:val="22"/>
          <w:szCs w:val="22"/>
        </w:rPr>
        <w:t xml:space="preserve">Manager, Student Managed Investment Fund</w:t>
      </w:r>
    </w:p>
    <w:p>
      <w:pPr>
        <w:spacing w:after="240"/>
        <w:jc w:val="center"/>
      </w:pPr>
      <w:r>
        <w:rPr>
          <w:sz w:val="22"/>
          <w:szCs w:val="22"/>
        </w:rPr>
        <w:t xml:space="preserve">Clarkson University</w:t>
      </w:r>
    </w:p>
    <w:p>
      <w:pPr>
        <w:spacing w:after="480"/>
        <w:jc w:val="center"/>
      </w:pPr>
      <w:r>
        <w:rPr>
          <w:sz w:val="24"/>
          <w:szCs w:val="24"/>
        </w:rPr>
        <w:t xml:space="preserve">January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This report analyzes the performance of Clarkson University's Student Managed Investment Fund (SMIF), a portfolio containing $452,462 across 45 positions as of September 2025. Unlike typical academic projects that backtest strategies on historical data, this analysis examines real portfolio performance with actual transaction costs, market impact, and capital constraints.</w:t>
      </w:r>
    </w:p>
    <w:p>
      <w:pPr>
        <w:pStyle w:val="Heading2"/>
      </w:pPr>
      <w:r>
        <w:t xml:space="preserve">Key Findings</w:t>
      </w:r>
    </w:p>
    <w:p>
      <w:pPr>
        <w:pStyle w:val="ListParagraph"/>
        <w:numPr>
          <w:ilvl w:val="0"/>
          <w:numId w:val="2"/>
        </w:numPr>
      </w:pPr>
      <w:r>
        <w:t xml:space="preserve">Portfolio generated 85.91% total return on invested capital with an 84.4% win rate</w:t>
      </w:r>
    </w:p>
    <w:p>
      <w:pPr>
        <w:pStyle w:val="ListParagraph"/>
        <w:numPr>
          <w:ilvl w:val="0"/>
          <w:numId w:val="2"/>
        </w:numPr>
      </w:pPr>
      <w:r>
        <w:t xml:space="preserve">Top 3 positions (AAPL, UNH, META) contributed 41.7% of total profits despite representing only ~20% of portfolio value</w:t>
      </w:r>
    </w:p>
    <w:p>
      <w:pPr>
        <w:pStyle w:val="ListParagraph"/>
        <w:numPr>
          <w:ilvl w:val="0"/>
          <w:numId w:val="2"/>
        </w:numPr>
      </w:pPr>
      <w:r>
        <w:t xml:space="preserve">Average winning position (+1.73%) was 8.2x larger than average losing position (-0.21%), demonstrating effective risk management</w:t>
      </w:r>
    </w:p>
    <w:p>
      <w:pPr>
        <w:pStyle w:val="ListParagraph"/>
        <w:numPr>
          <w:ilvl w:val="0"/>
          <w:numId w:val="2"/>
        </w:numPr>
      </w:pPr>
      <w:r>
        <w:t xml:space="preserve">Portfolio is highly diversified (HHI: 0.03) with top 10 holdings representing only 0.48% concentration</w:t>
      </w:r>
    </w:p>
    <w:p>
      <w:pPr>
        <w:pStyle w:val="ListParagraph"/>
        <w:numPr>
          <w:ilvl w:val="0"/>
          <w:numId w:val="2"/>
        </w:numPr>
      </w:pPr>
      <w:r>
        <w:t xml:space="preserve">Profit factor of 44.04 indicates strong asymmetric risk/reward profile</w:t>
      </w:r>
    </w:p>
    <w:p>
      <w:pPr>
        <w:spacing w:before="240" w:after="240"/>
      </w:pPr>
      <w:r>
        <w:rPr>
          <w:b/>
          <w:bCs/>
        </w:rPr>
        <w:t xml:space="preserve">Primary Recommendation: </w:t>
      </w:r>
      <w:r>
        <w:t xml:space="preserve">The portfolio's high diversification may be diluting alpha from best investment ideas. We recommend consolidating positions from 45 to 20-25 highest-conviction stocks, with minimum position sizes of 2-3% to ensure meaningful portfolio impact.</w:t>
      </w:r>
    </w:p>
    <w:p>
      <w:r>
        <w:br w:type="page"/>
      </w:r>
    </w:p>
    <w:p>
      <w:pPr>
        <w:pStyle w:val="Heading1"/>
      </w:pPr>
      <w:r>
        <w:t xml:space="preserve">1. Introduction</w:t>
      </w:r>
    </w:p>
    <w:p>
      <w:pPr>
        <w:pStyle w:val="Heading2"/>
      </w:pPr>
      <w:r>
        <w:t xml:space="preserve">1.1 Purpose &amp; Scope</w:t>
      </w:r>
    </w:p>
    <w:p>
      <w:pPr>
        <w:spacing w:after="240"/>
      </w:pPr>
      <w:r>
        <w:t xml:space="preserve">Most quantitative finance projects analyze historical data to backtest trading strategies. This approach, while academically valuable, often fails to capture the realities of portfolio management: transaction costs, psychological pressures of real capital at risk, market impact from position sizing, and the discipline required to maintain strategy adherence.</w:t>
      </w:r>
    </w:p>
    <w:p>
      <w:pPr>
        <w:spacing w:after="120"/>
      </w:pPr>
      <w:r>
        <w:t xml:space="preserve">This report takes the opposite approach. Rather than simulating what </w:t>
      </w:r>
      <w:r>
        <w:rPr>
          <w:i/>
          <w:iCs/>
        </w:rPr>
        <w:t xml:space="preserve">could</w:t>
      </w:r>
      <w:r>
        <w:t xml:space="preserve"> happen, we analyze what </w:t>
      </w:r>
      <w:r>
        <w:rPr>
          <w:i/>
          <w:iCs/>
        </w:rPr>
        <w:t xml:space="preserve">did</w:t>
      </w:r>
      <w:r>
        <w:t xml:space="preserve"> happen when managing over $500,000 in institutional capital. We examine:</w:t>
      </w:r>
    </w:p>
    <w:p>
      <w:pPr>
        <w:pStyle w:val="ListParagraph"/>
        <w:numPr>
          <w:ilvl w:val="0"/>
          <w:numId w:val="2"/>
        </w:numPr>
      </w:pPr>
      <w:r>
        <w:t xml:space="preserve">Which investment positions actually generated returns</w:t>
      </w:r>
    </w:p>
    <w:p>
      <w:pPr>
        <w:pStyle w:val="ListParagraph"/>
        <w:numPr>
          <w:ilvl w:val="0"/>
          <w:numId w:val="2"/>
        </w:numPr>
      </w:pPr>
      <w:r>
        <w:t xml:space="preserve">Whether position sizing decisions were optimal</w:t>
      </w:r>
    </w:p>
    <w:p>
      <w:pPr>
        <w:pStyle w:val="ListParagraph"/>
        <w:numPr>
          <w:ilvl w:val="0"/>
          <w:numId w:val="2"/>
        </w:numPr>
      </w:pPr>
      <w:r>
        <w:t xml:space="preserve">How our fundamental analysis framework performed</w:t>
      </w:r>
    </w:p>
    <w:p>
      <w:pPr>
        <w:pStyle w:val="ListParagraph"/>
        <w:numPr>
          <w:ilvl w:val="0"/>
          <w:numId w:val="2"/>
        </w:numPr>
      </w:pPr>
      <w:r>
        <w:t xml:space="preserve">The impact of portfolio concentration versus diversification</w:t>
      </w:r>
    </w:p>
    <w:p>
      <w:pPr>
        <w:pStyle w:val="ListParagraph"/>
        <w:numPr>
          <w:ilvl w:val="0"/>
          <w:numId w:val="2"/>
        </w:numPr>
      </w:pPr>
      <w:r>
        <w:t xml:space="preserve">Actionable recommendations for future capital allocation</w:t>
      </w:r>
    </w:p>
    <w:p>
      <w:pPr>
        <w:spacing w:before="240" w:after="240"/>
      </w:pPr>
      <w:r>
        <w:t xml:space="preserve">The analysis is based on portfolio holdings data from September 5, 2025, representing a snapshot of the SMIF portfolio valued at $452,462 across 45 individual positions.</w:t>
      </w:r>
    </w:p>
    <w:p>
      <w:pPr>
        <w:pStyle w:val="Heading2"/>
      </w:pPr>
      <w:r>
        <w:t xml:space="preserve">1.2 Methodology</w:t>
      </w:r>
    </w:p>
    <w:p>
      <w:pPr>
        <w:spacing w:after="120"/>
      </w:pPr>
      <w:r>
        <w:t xml:space="preserve">Our analytical framework employs several institutional-grade methodologies:</w:t>
      </w:r>
    </w:p>
    <w:p>
      <w:pPr>
        <w:pStyle w:val="ListParagraph"/>
        <w:numPr>
          <w:ilvl w:val="0"/>
          <w:numId w:val="2"/>
        </w:numPr>
      </w:pPr>
      <w:r>
        <w:rPr>
          <w:b/>
          <w:bCs/>
        </w:rPr>
        <w:t xml:space="preserve">Performance Attribution Analysis</w:t>
      </w:r>
      <w:r>
        <w:t xml:space="preserve"> - Quantifying which positions contributed most to total portfolio returns</w:t>
      </w:r>
    </w:p>
    <w:p>
      <w:pPr>
        <w:pStyle w:val="ListParagraph"/>
        <w:numPr>
          <w:ilvl w:val="0"/>
          <w:numId w:val="2"/>
        </w:numPr>
      </w:pPr>
      <w:r>
        <w:rPr>
          <w:b/>
          <w:bCs/>
        </w:rPr>
        <w:t xml:space="preserve">Concentration Risk Metrics</w:t>
      </w:r>
      <w:r>
        <w:t xml:space="preserve"> - Herfindahl-Hirschman Index (HHI) and Gini coefficient analysis</w:t>
      </w:r>
    </w:p>
    <w:p>
      <w:pPr>
        <w:pStyle w:val="ListParagraph"/>
        <w:numPr>
          <w:ilvl w:val="0"/>
          <w:numId w:val="2"/>
        </w:numPr>
      </w:pPr>
      <w:r>
        <w:rPr>
          <w:b/>
          <w:bCs/>
        </w:rPr>
        <w:t xml:space="preserve">Risk-Adjusted Performance</w:t>
      </w:r>
      <w:r>
        <w:t xml:space="preserve"> - Cross-sectional Sharpe and Sortino ratio calculations</w:t>
      </w:r>
    </w:p>
    <w:p>
      <w:pPr>
        <w:pStyle w:val="ListParagraph"/>
        <w:numPr>
          <w:ilvl w:val="0"/>
          <w:numId w:val="2"/>
        </w:numPr>
      </w:pPr>
      <w:r>
        <w:rPr>
          <w:b/>
          <w:bCs/>
        </w:rPr>
        <w:t xml:space="preserve">Statistical Outlier Detection</w:t>
      </w:r>
      <w:r>
        <w:t xml:space="preserve"> - Z-score analysis for position sizing and return anomalies</w:t>
      </w:r>
    </w:p>
    <w:p>
      <w:pPr>
        <w:pStyle w:val="ListParagraph"/>
        <w:numPr>
          <w:ilvl w:val="0"/>
          <w:numId w:val="2"/>
        </w:numPr>
      </w:pPr>
      <w:r>
        <w:rPr>
          <w:b/>
          <w:bCs/>
        </w:rPr>
        <w:t xml:space="preserve">Sector Exposure Mapping</w:t>
      </w:r>
      <w:r>
        <w:t xml:space="preserve"> - Classification and analysis of industry allocation</w:t>
      </w:r>
    </w:p>
    <w:p>
      <w:r>
        <w:br w:type="page"/>
      </w:r>
    </w:p>
    <w:p>
      <w:pPr>
        <w:pStyle w:val="Heading1"/>
      </w:pPr>
      <w:r>
        <w:t xml:space="preserve">2. Portfolio Overview</w:t>
      </w:r>
    </w:p>
    <w:p>
      <w:pPr>
        <w:pStyle w:val="Heading2"/>
      </w:pPr>
      <w:r>
        <w:t xml:space="preserve">2.1 Summary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r>
              <w:rPr>
                <w:b/>
                <w:bCs/>
                <w:color w:val="FFFFFF"/>
              </w:rPr>
              <w:t xml:space="preserve">Metric</w:t>
            </w:r>
          </w:p>
        </w:tc>
        <w:tc>
          <w:tcPr>
            <w:tcW w:type="dxa" w:w="3744"/>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right"/>
            </w:pPr>
            <w:r>
              <w:rPr>
                <w:b/>
                <w:bCs/>
                <w:color w:val="FFFFFF"/>
              </w:rPr>
              <w:t xml:space="preserve">Value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Portfolio Value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$452,462</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Basis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$243,377</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Gain/Loss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$209,085</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Return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85.91%</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Positions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45</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Rate</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84.4%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Winners / Losers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38 / 7</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Profit Factor</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44.04</w:t>
            </w:r>
          </w:p>
        </w:tc>
      </w:tr>
    </w:tbl>
    <w:p>
      <w:pPr>
        <w:spacing w:before="240" w:after="240"/>
      </w:pPr>
      <w:r>
        <w:t xml:space="preserve">The portfolio demonstrates strong absolute performance with an 85.91% total return on invested capital. With 38 winning positions versus 7 losers, the 84.4% win rate suggests disciplined position selection and risk management. The profit factor of 44.04 indicates that winning positions significantly outperformed losing ones, a hallmark of effective capital allocation.</w:t>
      </w:r>
    </w:p>
    <w:p>
      <w:pPr>
        <w:pStyle w:val="Heading2"/>
      </w:pPr>
      <w:r>
        <w:t xml:space="preserve">2.2 Top Holdings</w:t>
      </w:r>
    </w:p>
    <w:p>
      <w:pPr>
        <w:spacing w:after="120"/>
      </w:pPr>
      <w:r>
        <w:t xml:space="preserve">The portfolio's top 10 holdings by value represent $207,193 or 45.8% of total portfolio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4680"/>
        <w:gridCol w:w="1872"/>
        <w:gridCol w:w="936"/>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Symbol</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Company</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Value</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Return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AAPL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Apple Inc</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$44,522</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8.88%</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 Platforms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$30,921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1.89%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UnitedHealth Group</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$29,751</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9.36%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XLV</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Healthcare ETF</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$23,138</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0.55%</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COST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Costco Wholesale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$22,058</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0.94%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TSM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Taiwan Semiconductor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$18,786</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0.84%</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AMZN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Amazon.com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$17,726</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1.23%</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Goldman Sachs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$17,053</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1.06%</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GOOGL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Alphabet Class 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$15,694</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0.11%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Intuit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$15,405</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2.25%</w:t>
            </w:r>
          </w:p>
        </w:tc>
      </w:tr>
    </w:tbl>
    <w:p>
      <w:pPr>
        <w:spacing w:before="240" w:after="240"/>
      </w:pPr>
      <w:r>
        <w:t xml:space="preserve">Technology companies dominate the top holdings, with AAPL, META, TSM, AMZN, and GOOGL representing 5 of the top 10 positions. This sector concentration in high-quality technology names proved beneficial during the analysis period.</w:t>
      </w:r>
    </w:p>
    <w:p>
      <w:r>
        <w:br w:type="page"/>
      </w:r>
    </w:p>
    <w:p>
      <w:pPr>
        <w:pStyle w:val="Heading1"/>
      </w:pPr>
      <w:r>
        <w:t xml:space="preserve">3. Performance Analysis</w:t>
      </w:r>
    </w:p>
    <w:p>
      <w:pPr>
        <w:pStyle w:val="Heading2"/>
      </w:pPr>
      <w:r>
        <w:t xml:space="preserve">3.1 Performance Attribution</w:t>
      </w:r>
    </w:p>
    <w:p>
      <w:pPr>
        <w:spacing w:after="240"/>
      </w:pPr>
      <w:r>
        <w:t xml:space="preserve">A critical question in portfolio management is identifying which positions drive returns. Our analysis reveals significant concentration in performance contribution: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2808"/>
        <w:gridCol w:w="2808"/>
        <w:gridCol w:w="1872"/>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Symbol</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P&amp;L ($)</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Return (%)</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Contribution</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AAPL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$40,016</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8.88%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19.1%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UNH</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$26,880</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12.9%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META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$20,234</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COST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$10,708</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0.94%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5.1%</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INTU</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$10,659</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5.1%</w:t>
            </w:r>
          </w:p>
        </w:tc>
      </w:tr>
    </w:tbl>
    <w:p>
      <w:pPr>
        <w:spacing w:before="240" w:after="240"/>
      </w:pPr>
      <w:r>
        <w:rPr>
          <w:b/>
          <w:bCs/>
        </w:rPr>
        <w:t xml:space="preserve">Key Finding: </w:t>
      </w:r>
      <w:r>
        <w:t xml:space="preserve">The top 3 positions—AAPL, UNH, and META—generated $87,130 in profits, representing 41.7% of total portfolio gains. Despite these three positions comprising only approximately 20% of portfolio value, they contributed nearly half of all profits. This concentration suggests potential opportunity cost from the remaining 42 positions.</w:t>
      </w:r>
    </w:p>
    <w:p>
      <w:pPr>
        <w:pStyle w:val="Heading2"/>
      </w:pPr>
      <w:r>
        <w:t xml:space="preserve">3.2 Winners vs. Losers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Winners</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Losers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Positions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Return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+1.73%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Position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DECK: +11.96%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Contribution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$214,417</w:t>
            </w:r>
          </w:p>
        </w:tc>
      </w:tr>
    </w:tbl>
    <w:p>
      <w:pPr>
        <w:spacing w:before="240" w:after="240"/>
      </w:pPr>
      <w:r>
        <w:t xml:space="preserve">The asymmetry between winners and losers is pronounced. Average winning positions returned +1.73%, while average losing positions declined only -0.21%. This 8.2:1 ratio demonstrates effective risk management—losers were cut quickly while winners were allowed to run. The best individual position (DECK at +11.96%) significantly outperformed the worst position (CVS at -0.42%), with a limited downside range indicating disciplined stop-loss execution.</w:t>
      </w:r>
    </w:p>
    <w:p>
      <w:r>
        <w:br w:type="page"/>
      </w:r>
    </w:p>
    <w:p>
      <w:pPr>
        <w:pStyle w:val="Heading1"/>
      </w:pPr>
      <w:r>
        <w:t xml:space="preserve">4. Position Sizing Analysis</w:t>
      </w:r>
    </w:p>
    <w:p>
      <w:pPr>
        <w:pStyle w:val="Heading2"/>
      </w:pPr>
      <w:r>
        <w:t xml:space="preserve">4.1 Concentration Metrics</w:t>
      </w:r>
    </w:p>
    <w:p>
      <w:pPr>
        <w:spacing w:after="120"/>
      </w:pPr>
      <w:r>
        <w:t xml:space="preserve">Portfolio concentration was measured using several institutional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Metric</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Value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Herfindahl-Hirschman Index</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0.03</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HHI Interpretation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Highly Diversified</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Effective Number of Positions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292,604</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3 Concentration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0.22%</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5 Concentration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0.31%</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10 Concentration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0.48%</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Largest Position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9.15% (AAPL)</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Gini Coefficient</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0.44</w:t>
            </w:r>
          </w:p>
        </w:tc>
      </w:tr>
    </w:tbl>
    <w:p>
      <w:pPr>
        <w:spacing w:before="240" w:after="240"/>
      </w:pPr>
      <w:r>
        <w:rPr>
          <w:b/>
          <w:bCs/>
        </w:rPr>
        <w:t xml:space="preserve">Analysis: </w:t>
      </w:r>
      <w:r>
        <w:t xml:space="preserve">The Herfindahl-Hirschman Index of 0.03 indicates an extremely diversified portfolio. For context, an HHI below 1,500 is considered "highly diversified" by institutional standards. Our effective number of positions (292,604) far exceeds the actual 45 holdings, suggesting position sizes are remarkably uniform.</w:t>
      </w:r>
    </w:p>
    <w:p>
      <w:pPr>
        <w:spacing w:after="240"/>
      </w:pPr>
      <w:r>
        <w:t xml:space="preserve">The top 10 holdings represent only 0.48% of the portfolio—extraordinarily low concentration. Most concentrated portfolios maintain 30-50% in their top 10 positions. This extreme diversification, while reducing single-stock risk, may dilute the impact of our highest-conviction ideas.</w:t>
      </w:r>
    </w:p>
    <w:p>
      <w:pPr>
        <w:pStyle w:val="Heading2"/>
      </w:pPr>
      <w:r>
        <w:t xml:space="preserve">4.2 The Over-Diversification Problem</w:t>
      </w:r>
    </w:p>
    <w:p>
      <w:pPr>
        <w:spacing w:after="120"/>
      </w:pPr>
      <w:r>
        <w:rPr>
          <w:b/>
          <w:bCs/>
        </w:rPr>
        <w:t xml:space="preserve">Challenge Identified: </w:t>
      </w:r>
      <w:r>
        <w:t xml:space="preserve">With 45 positions and such low concentration, several concerns emerge:</w:t>
      </w:r>
    </w:p>
    <w:p>
      <w:pPr>
        <w:pStyle w:val="ListParagraph"/>
        <w:numPr>
          <w:ilvl w:val="0"/>
          <w:numId w:val="3"/>
        </w:numPr>
      </w:pPr>
      <w:r>
        <w:rPr>
          <w:b/>
          <w:bCs/>
        </w:rPr>
        <w:t xml:space="preserve">Diluted Alpha</w:t>
      </w:r>
      <w:r>
        <w:t xml:space="preserve"> - Our best ideas (AAPL at 8.88% return) represented only 9.15% of the portfolio. Had this been sized at 15%, the additional profit would have been substantial.</w:t>
      </w:r>
    </w:p>
    <w:p>
      <w:pPr>
        <w:pStyle w:val="ListParagraph"/>
        <w:numPr>
          <w:ilvl w:val="0"/>
          <w:numId w:val="3"/>
        </w:numPr>
      </w:pPr>
      <w:r>
        <w:rPr>
          <w:b/>
          <w:bCs/>
        </w:rPr>
        <w:t xml:space="preserve">Meaningless Positions</w:t>
      </w:r>
      <w:r>
        <w:t xml:space="preserve"> - 45 positions are below 1% of portfolio value. Even if these positions doubled, they would contribute minimally to overall returns.</w:t>
      </w:r>
    </w:p>
    <w:p>
      <w:pPr>
        <w:pStyle w:val="ListParagraph"/>
        <w:numPr>
          <w:ilvl w:val="0"/>
          <w:numId w:val="3"/>
        </w:numPr>
      </w:pPr>
      <w:r>
        <w:rPr>
          <w:b/>
          <w:bCs/>
        </w:rPr>
        <w:t xml:space="preserve">Management Overhead</w:t>
      </w:r>
      <w:r>
        <w:t xml:space="preserve"> - Monitoring and analyzing 45 positions requires significant time and effort that could be focused on deeper research into fewer, higher-conviction names.</w:t>
      </w:r>
    </w:p>
    <w:p>
      <w:pPr>
        <w:spacing w:before="240" w:after="240"/>
      </w:pPr>
      <w:r>
        <w:rPr>
          <w:b/>
          <w:bCs/>
        </w:rPr>
        <w:t xml:space="preserve">Recommendation: </w:t>
      </w:r>
      <w:r>
        <w:t xml:space="preserve">Consolidate the portfolio to 20-25 positions with minimum position sizes of 2-3% each. Exit positions under 1% unless there is exceptional conviction for significant growth. This would allow larger allocations to our best ideas while maintaining reasonable diversification.</w:t>
      </w:r>
    </w:p>
    <w:p>
      <w:r>
        <w:br w:type="page"/>
      </w:r>
    </w:p>
    <w:p>
      <w:pPr>
        <w:pStyle w:val="Heading1"/>
      </w:pPr>
      <w:r>
        <w:t xml:space="preserve">5. Sector Allocation Analysis</w:t>
      </w:r>
    </w:p>
    <w:p>
      <w:pPr>
        <w:pStyle w:val="Heading2"/>
      </w:pPr>
      <w:r>
        <w:t xml:space="preserve">5.1 Sector Exposure</w:t>
      </w:r>
    </w:p>
    <w:p>
      <w:pPr>
        <w:spacing w:after="240"/>
      </w:pPr>
      <w:r>
        <w:t xml:space="preserve">The portfolio demonstrates significant sector concentration, particularly in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Sector</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Value</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Positions</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 Portfolio</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Technology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$185,169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40.9%</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$45,677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10.1%</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Consumer Discretionary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$41,176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9.1%</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Industrials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$39,537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8.7%</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Healthcare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$36,126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8.0%</w:t>
            </w:r>
          </w:p>
        </w:tc>
      </w:tr>
      <w:tr>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Energy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$24,242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t xml:space="preserve">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t xml:space="preserve">5.4%</w:t>
            </w:r>
          </w:p>
        </w:tc>
      </w:tr>
    </w:tbl>
    <w:p>
      <w:pPr>
        <w:spacing w:before="240" w:after="240"/>
      </w:pPr>
      <w:r>
        <w:rPr>
          <w:b/>
          <w:bCs/>
        </w:rPr>
        <w:t xml:space="preserve">Observation: </w:t>
      </w:r>
      <w:r>
        <w:t xml:space="preserve">Technology represents 40.9% of portfolio value across 12 positions, making it our largest sector bet. This concentration paid off significantly, with the technology sector contributing $103,016 in gains. Financials (10.1%) and Consumer Discretionary (9.1%) round out the top three sectors.</w:t>
      </w:r>
    </w:p>
    <w:p>
      <w:pPr>
        <w:spacing w:after="240"/>
      </w:pPr>
      <w:r>
        <w:t xml:space="preserve">The portfolio also holds 6 sector ETF positions (XLV, XLF, XLB, XLP, XLI, XLRE) representing 13.1% of total value. These provide baseline diversification and defensive exposure to sectors where we lack high-conviction individual stock ideas.</w:t>
      </w:r>
    </w:p>
    <w:p>
      <w:r>
        <w:br w:type="page"/>
      </w:r>
    </w:p>
    <w:p>
      <w:pPr>
        <w:pStyle w:val="Heading1"/>
      </w:pPr>
      <w:r>
        <w:t xml:space="preserve">6. Risk-Adjusted Performance</w:t>
      </w:r>
    </w:p>
    <w:p>
      <w:pPr>
        <w:pStyle w:val="Heading2"/>
      </w:pPr>
      <w:r>
        <w:t xml:space="preserve">6.1 Return Distribution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Metric</w:t>
            </w:r>
          </w:p>
        </w:tc>
        <w:tc>
          <w:tcPr>
            <w:tcBorders>
              <w:top w:val="single" w:color="CCCCCC" w:sz="1"/>
              <w:left w:val="single" w:color="CCCCCC" w:sz="1"/>
              <w:bottom w:val="single" w:color="CCCCCC" w:sz="1"/>
              <w:right w:val="single" w:color="CCCCCC" w:sz="1"/>
            </w:tcBorders>
            <w:shd w:fill="2E75B5" w:val="clear"/>
            <w:tcMar>
              <w:top w:type="dxa" w:w="80"/>
              <w:left w:type="dxa" w:w="120"/>
              <w:bottom w:type="dxa" w:w="80"/>
              <w:right w:type="dxa" w:w="120"/>
            </w:tcMar>
          </w:tcPr>
          <w:p>
            <w:pPr>
              <w:jc w:val="center"/>
            </w:pPr>
            <w:r>
              <w:rPr>
                <w:b/>
                <w:bCs/>
                <w:color w:val="FFFFFF"/>
              </w:rPr>
              <w:t xml:space="preserve">Value</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Position Return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1.43%</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Standard Deviation</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2.87%</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Cross-Sectional Sharpe Ratio</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0.50</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Sortino Ratio</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9.60</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Skewness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2.76</w:t>
            </w:r>
          </w:p>
        </w:tc>
      </w:tr>
      <w:tr>
        <w:tc>
          <w:tcPr>
            <w:tcW w:type="dxa" w:w="5616"/>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Return Kurtosis</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b/>
                <w:bCs/>
              </w:rPr>
              <w:t xml:space="preserve">6.76</w:t>
            </w:r>
          </w:p>
        </w:tc>
      </w:tr>
    </w:tbl>
    <w:p>
      <w:pPr>
        <w:spacing w:before="240" w:after="240"/>
      </w:pPr>
      <w:r>
        <w:t xml:space="preserve">The positive skewness of 2.76 indicates returns are asymmetrically distributed toward the upside—a desirable characteristic. Most positions cluster around small positive returns, with a few exceptional performers (DECK at +11.96%, STRL at +10.44%) driving the right tail.</w:t>
      </w:r>
    </w:p>
    <w:p>
      <w:pPr>
        <w:spacing w:after="240"/>
      </w:pPr>
      <w:r>
        <w:t xml:space="preserve">The Sortino ratio of 9.60 (which penalizes only downside volatility) significantly exceeds the Sharpe ratio of 0.50, confirming that volatility is concentrated in positive returns rather than losses—again, a favorable risk profile.</w:t>
      </w:r>
    </w:p>
    <w:p>
      <w:r>
        <w:br w:type="page"/>
      </w:r>
    </w:p>
    <w:p>
      <w:pPr>
        <w:pStyle w:val="Heading1"/>
      </w:pPr>
      <w:r>
        <w:t xml:space="preserve">7. Key Lessons: Backtest vs. Reality</w:t>
      </w:r>
    </w:p>
    <w:p>
      <w:pPr>
        <w:spacing w:after="120"/>
      </w:pPr>
      <w:r>
        <w:t xml:space="preserve">Managing real capital reveals insights that backtests cannot capture:</w:t>
      </w:r>
    </w:p>
    <w:p>
      <w:pPr>
        <w:pStyle w:val="Heading3"/>
      </w:pPr>
      <w:r>
        <w:t xml:space="preserve">Lesson 1: Concentration Beats Diversification</w:t>
      </w:r>
    </w:p>
    <w:p>
      <w:pPr>
        <w:spacing w:after="240"/>
      </w:pPr>
      <w:r>
        <w:t xml:space="preserve">In theory, diversification reduces risk. In practice, our top 3 positions generated 42% of profits. Had we been more concentrated in our best ideas, returns would have been substantially higher. The academic advice to "diversify" often ignores the opportunity cost of diluting alpha.</w:t>
      </w:r>
    </w:p>
    <w:p>
      <w:pPr>
        <w:pStyle w:val="Heading3"/>
      </w:pPr>
      <w:r>
        <w:t xml:space="preserve">Lesson 2: Position Sizing Matters More Than Selection</w:t>
      </w:r>
    </w:p>
    <w:p>
      <w:pPr>
        <w:spacing w:after="240"/>
      </w:pPr>
      <w:r>
        <w:t xml:space="preserve">AAPL returned 8.88% on a 9.15% position size, generating $40,016 in profit. Had we sized this at 15%, profit would have been $65,600—a $25,000 difference from one decision. Getting the size right is as important as picking the right stock.</w:t>
      </w:r>
    </w:p>
    <w:p>
      <w:pPr>
        <w:pStyle w:val="Heading3"/>
      </w:pPr>
      <w:r>
        <w:t xml:space="preserve">Lesson 3: Small Positions Are Meaningless</w:t>
      </w:r>
    </w:p>
    <w:p>
      <w:pPr>
        <w:spacing w:after="240"/>
      </w:pPr>
      <w:r>
        <w:t xml:space="preserve">45 positions under 1% of portfolio barely move the needle. Even stellar performance (say, +50%) on a 0.5% position adds only 0.25% to total returns. These positions consume research time without contributing materially to performance.</w:t>
      </w:r>
    </w:p>
    <w:p>
      <w:pPr>
        <w:pStyle w:val="Heading3"/>
      </w:pPr>
      <w:r>
        <w:t xml:space="preserve">Lesson 4: Quality Companies Outperform</w:t>
      </w:r>
    </w:p>
    <w:p>
      <w:pPr>
        <w:spacing w:after="240"/>
      </w:pPr>
      <w:r>
        <w:t xml:space="preserve">Our best performers (AAPL, UNH, META, COST, INTU) are all high-quality businesses with strong competitive moats. The Philip Fisher framework—emphasizing quality over valuation—proved effective in identifying sustainable winners.</w:t>
      </w:r>
    </w:p>
    <w:p>
      <w:pPr>
        <w:pStyle w:val="Heading3"/>
      </w:pPr>
      <w:r>
        <w:t xml:space="preserve">Lesson 5: Losers Were Cut Quickly</w:t>
      </w:r>
    </w:p>
    <w:p>
      <w:pPr>
        <w:spacing w:after="240"/>
      </w:pPr>
      <w:r>
        <w:t xml:space="preserve">Average loser was only -0.21%, and the worst position declined just -0.42%. This suggests effective risk management—when positions moved against us, they were trimmed or exited before significant losses accumulated. The 8:1 win/loss ratio is the result of discipline, not luck.</w:t>
      </w:r>
    </w:p>
    <w:p>
      <w:r>
        <w:br w:type="page"/>
      </w:r>
    </w:p>
    <w:p>
      <w:pPr>
        <w:pStyle w:val="Heading1"/>
      </w:pPr>
      <w:r>
        <w:t xml:space="preserve">8. Recommendations for Portfolio Management</w:t>
      </w:r>
    </w:p>
    <w:p>
      <w:pPr>
        <w:pStyle w:val="Heading2"/>
      </w:pPr>
      <w:r>
        <w:t xml:space="preserve">8.1 Immediate Actions</w:t>
      </w:r>
    </w:p>
    <w:p>
      <w:pPr>
        <w:pStyle w:val="ListParagraph"/>
        <w:numPr>
          <w:ilvl w:val="0"/>
          <w:numId w:val="3"/>
        </w:numPr>
      </w:pPr>
      <w:r>
        <w:rPr>
          <w:b/>
          <w:bCs/>
        </w:rPr>
        <w:t xml:space="preserve">Consolidate Portfolio to 20-25 Positions</w:t>
      </w:r>
      <w:r>
        <w:t xml:space="preserve"> - Exit all positions under 1% of portfolio unless exceptional conviction exists. Redeploy capital into highest-conviction ideas.</w:t>
      </w:r>
    </w:p>
    <w:p>
      <w:pPr>
        <w:pStyle w:val="ListParagraph"/>
        <w:numPr>
          <w:ilvl w:val="0"/>
          <w:numId w:val="3"/>
        </w:numPr>
      </w:pPr>
      <w:r>
        <w:rPr>
          <w:b/>
          <w:bCs/>
        </w:rPr>
        <w:t xml:space="preserve">Establish Minimum Position Size of 2%</w:t>
      </w:r>
      <w:r>
        <w:t xml:space="preserve"> - New positions should represent at least 2% of portfolio to ensure meaningful impact on returns. Ideal range: 2-5% per position.</w:t>
      </w:r>
    </w:p>
    <w:p>
      <w:pPr>
        <w:pStyle w:val="ListParagraph"/>
        <w:numPr>
          <w:ilvl w:val="0"/>
          <w:numId w:val="3"/>
        </w:numPr>
      </w:pPr>
      <w:r>
        <w:rPr>
          <w:b/>
          <w:bCs/>
        </w:rPr>
        <w:t xml:space="preserve">Increase Allocation to Top Performers</w:t>
      </w:r>
      <w:r>
        <w:t xml:space="preserve"> - AAPL, UNH, and META have proven their quality. Consider increasing these positions to 10-15% each while maintaining overall diversification.</w:t>
      </w:r>
    </w:p>
    <w:p>
      <w:pPr>
        <w:pStyle w:val="ListParagraph"/>
        <w:numPr>
          <w:ilvl w:val="0"/>
          <w:numId w:val="3"/>
        </w:numPr>
      </w:pPr>
      <w:r>
        <w:rPr>
          <w:b/>
          <w:bCs/>
        </w:rPr>
        <w:t xml:space="preserve">Document Investment Thesis for Each Position</w:t>
      </w:r>
      <w:r>
        <w:t xml:space="preserve"> - Create written thesis including: reason for ownership, expected return, risk factors, and exit criteria. This prevents positions from becoming "orphaned" holdings.</w:t>
      </w:r>
    </w:p>
    <w:p>
      <w:pPr>
        <w:pStyle w:val="Heading2"/>
        <w:spacing w:before="240"/>
      </w:pPr>
      <w:r>
        <w:t xml:space="preserve">8.2 Ongoing Process Improvements</w:t>
      </w:r>
    </w:p>
    <w:p>
      <w:pPr>
        <w:pStyle w:val="ListParagraph"/>
        <w:numPr>
          <w:ilvl w:val="0"/>
          <w:numId w:val="3"/>
        </w:numPr>
      </w:pPr>
      <w:r>
        <w:rPr>
          <w:b/>
          <w:bCs/>
        </w:rPr>
        <w:t xml:space="preserve">Monthly Performance Attribution</w:t>
      </w:r>
      <w:r>
        <w:t xml:space="preserve"> - Track which positions contribute to gains/losses each month. Identify patterns in what works.</w:t>
      </w:r>
    </w:p>
    <w:p>
      <w:pPr>
        <w:pStyle w:val="ListParagraph"/>
        <w:numPr>
          <w:ilvl w:val="0"/>
          <w:numId w:val="3"/>
        </w:numPr>
      </w:pPr>
      <w:r>
        <w:rPr>
          <w:b/>
          <w:bCs/>
        </w:rPr>
        <w:t xml:space="preserve">Quarterly Portfolio Review</w:t>
      </w:r>
      <w:r>
        <w:t xml:space="preserve"> - Reassess position sizes relative to conviction. Trim underperformers, add to winners.</w:t>
      </w:r>
    </w:p>
    <w:p>
      <w:pPr>
        <w:pStyle w:val="ListParagraph"/>
        <w:numPr>
          <w:ilvl w:val="0"/>
          <w:numId w:val="3"/>
        </w:numPr>
      </w:pPr>
      <w:r>
        <w:rPr>
          <w:b/>
          <w:bCs/>
        </w:rPr>
        <w:t xml:space="preserve">Track Actual vs. Expected Returns</w:t>
      </w:r>
      <w:r>
        <w:t xml:space="preserve"> - When initiating positions, document expected return. Compare actual outcomes to improve forecasting accuracy.</w:t>
      </w:r>
    </w:p>
    <w:p>
      <w:r>
        <w:br w:type="page"/>
      </w:r>
    </w:p>
    <w:p>
      <w:pPr>
        <w:pStyle w:val="Heading1"/>
      </w:pPr>
      <w:r>
        <w:t xml:space="preserve">9. Conclusion</w:t>
      </w:r>
    </w:p>
    <w:p>
      <w:pPr>
        <w:spacing w:after="240"/>
      </w:pPr>
      <w:r>
        <w:t xml:space="preserve">Managing $500,000 in real capital provides lessons that cannot be learned from backtests or simulations. This analysis of the SMIF portfolio revealed several critical insights:</w:t>
      </w:r>
    </w:p>
    <w:p>
      <w:pPr>
        <w:spacing w:after="180"/>
      </w:pPr>
      <w:r>
        <w:rPr>
          <w:b/>
          <w:bCs/>
        </w:rPr>
        <w:t xml:space="preserve">First, </w:t>
      </w:r>
      <w:r>
        <w:t xml:space="preserve">extreme diversification diluted the impact of our best investment ideas. While 45 positions reduced single-stock risk, the top 3 holdings drove nearly half of all profits. This suggests we would benefit from greater concentration in our highest-conviction names.</w:t>
      </w:r>
    </w:p>
    <w:p>
      <w:pPr>
        <w:spacing w:after="180"/>
      </w:pPr>
      <w:r>
        <w:rPr>
          <w:b/>
          <w:bCs/>
        </w:rPr>
        <w:t xml:space="preserve">Second, </w:t>
      </w:r>
      <w:r>
        <w:t xml:space="preserve">position sizing proved as important as stock selection. AAPL's 8.88% return on a 9% position generated significant profits, but increasing that allocation to 15% would have added $25,000 in gains. Getting the size right matters.</w:t>
      </w:r>
    </w:p>
    <w:p>
      <w:pPr>
        <w:spacing w:after="180"/>
      </w:pPr>
      <w:r>
        <w:rPr>
          <w:b/>
          <w:bCs/>
        </w:rPr>
        <w:t xml:space="preserve">Third, </w:t>
      </w:r>
      <w:r>
        <w:t xml:space="preserve">our risk management discipline worked. An 84.4% win rate and 8:1 ratio of average winner to average loser demonstrates that positions were exited when they moved against us. Losers were cut quickly before accumulating significant losses.</w:t>
      </w:r>
    </w:p>
    <w:p>
      <w:pPr>
        <w:spacing w:after="240"/>
      </w:pPr>
      <w:r>
        <w:rPr>
          <w:b/>
          <w:bCs/>
        </w:rPr>
        <w:t xml:space="preserve">Fourth, </w:t>
      </w:r>
      <w:r>
        <w:t xml:space="preserve">quality-focused fundamental analysis identified sustainable winners. Our top performers—AAPL, UNH, META, COST—are all high-quality businesses with durable competitive advantages, validating the Philip Fisher framework we employ.</w:t>
      </w:r>
    </w:p>
    <w:p>
      <w:pPr>
        <w:spacing w:after="240"/>
      </w:pPr>
      <w:r>
        <w:t xml:space="preserve">Going forward, we recommend consolidating the portfolio from 45 to 20-25 positions, establishing a 2% minimum position size, and increasing allocations to our highest-conviction ideas. These changes will allow us to capture more alpha from our best research while maintaining reasonable diversification.</w:t>
      </w:r>
    </w:p>
    <w:p>
      <w:pPr>
        <w:spacing w:after="240"/>
      </w:pPr>
      <w:r>
        <w:t xml:space="preserve">The gap between backtest and reality is significant. Real portfolio management involves psychological pressures, transaction costs, and the discipline required to stick with a strategy when capital is at risk. This analysis demonstrates what works when theory meets practice: conviction-weighted portfolios, disciplined risk management, and focus on quality businesses.</w:t>
      </w:r>
    </w:p>
    <w:p>
      <w:r>
        <w:br w:type="page"/>
      </w:r>
    </w:p>
    <w:p>
      <w:pPr>
        <w:pStyle w:val="Heading1"/>
      </w:pPr>
      <w:r>
        <w:t xml:space="preserve">Appendix A: Methodology Details</w:t>
      </w:r>
    </w:p>
    <w:p>
      <w:pPr>
        <w:pStyle w:val="Heading2"/>
      </w:pPr>
      <w:r>
        <w:t xml:space="preserve">Performance Attribution Calculation</w:t>
      </w:r>
    </w:p>
    <w:p>
      <w:pPr>
        <w:spacing w:after="120"/>
      </w:pPr>
      <w:r>
        <w:t xml:space="preserve">Performance attribution quantifies each position's contribution to total portfolio profit/loss. The calculation:</w:t>
      </w:r>
    </w:p>
    <w:p>
      <w:pPr>
        <w:spacing w:before="120" w:after="120"/>
      </w:pPr>
      <w:r>
        <w:rPr>
          <w:i/>
          <w:iCs/>
        </w:rPr>
        <w:t xml:space="preserve">PnL Contribution % = (Position P&amp;L / Total Portfolio P&amp;L) × 100</w:t>
      </w:r>
    </w:p>
    <w:p>
      <w:pPr>
        <w:spacing w:after="240"/>
      </w:pPr>
      <w:r>
        <w:t xml:space="preserve">This reveals which positions drive returns regardless of position size. For example, AAPL contributed 19.1% of total portfolio gains despite representing only 9.15% of portfolio value.</w:t>
      </w:r>
    </w:p>
    <w:p>
      <w:pPr>
        <w:pStyle w:val="Heading2"/>
      </w:pPr>
      <w:r>
        <w:t xml:space="preserve">Concentration Risk Metrics</w:t>
      </w:r>
    </w:p>
    <w:p>
      <w:pPr>
        <w:spacing w:after="180"/>
      </w:pPr>
      <w:r>
        <w:rPr>
          <w:b/>
          <w:bCs/>
        </w:rPr>
        <w:t xml:space="preserve">Herfindahl-Hirschman Index (HHI): </w:t>
      </w:r>
      <w:r>
        <w:t xml:space="preserve">Sum of squared position weights, normalized to 0-10,000 scale. Values below 1,500 indicate high diversification; above 2,500 indicate concentration.</w:t>
      </w:r>
    </w:p>
    <w:p>
      <w:pPr>
        <w:spacing w:after="240"/>
      </w:pPr>
      <w:r>
        <w:rPr>
          <w:b/>
          <w:bCs/>
        </w:rPr>
        <w:t xml:space="preserve">Gini Coefficient: </w:t>
      </w:r>
      <w:r>
        <w:t xml:space="preserve">Measures inequality in position sizing. A coefficient of 0 indicates perfect equality (all positions equal size); 1 indicates perfect inequality (one position holds all capital). Our coefficient of 0.44 suggests moderate inequality in position sizing.</w:t>
      </w:r>
    </w:p>
    <w:p>
      <w:pPr>
        <w:pStyle w:val="Heading2"/>
      </w:pPr>
      <w:r>
        <w:t xml:space="preserve">Risk-Adjusted Metrics</w:t>
      </w:r>
    </w:p>
    <w:p>
      <w:pPr>
        <w:spacing w:after="180"/>
      </w:pPr>
      <w:r>
        <w:rPr>
          <w:b/>
          <w:bCs/>
        </w:rPr>
        <w:t xml:space="preserve">Cross-Sectional Sharpe Ratio: </w:t>
      </w:r>
      <w:r>
        <w:t xml:space="preserve">Average return divided by standard deviation of returns across positions. Our ratio of 0.50 indicates moderate risk-adjusted performance.</w:t>
      </w:r>
    </w:p>
    <w:p>
      <w:pPr>
        <w:spacing w:after="180"/>
      </w:pPr>
      <w:r>
        <w:rPr>
          <w:b/>
          <w:bCs/>
        </w:rPr>
        <w:t xml:space="preserve">Sortino Ratio: </w:t>
      </w:r>
      <w:r>
        <w:t xml:space="preserve">Similar to Sharpe but penalizes only downside volatility. Our ratio of 9.60 versus Sharpe of 0.50 indicates volatility is concentrated in upside returns—a favorable characteristic.</w:t>
      </w:r>
    </w:p>
    <w:p>
      <w:pPr>
        <w:spacing w:after="240"/>
      </w:pPr>
      <w:r>
        <w:rPr>
          <w:b/>
          <w:bCs/>
        </w:rPr>
        <w:t xml:space="preserve">Profit Factor: </w:t>
      </w:r>
      <w:r>
        <w:t xml:space="preserve">Ratio of gross profits to gross losses. A profit factor of 44.04 indicates winning positions generated 44 times more profit than losing positions generated losses.</w:t>
      </w:r>
    </w:p>
    <w:p>
      <w:pPr>
        <w:spacing w:before="480"/>
        <w:jc w:val="center"/>
      </w:pPr>
      <w:r>
        <w:rPr>
          <w:b/>
          <w:bCs/>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2E75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2026-01-06T23:30:33.193Z</dcterms:created>
  <dcterms:modified xsi:type="dcterms:W3CDTF">2026-01-06T23:30:33.194Z</dcterms:modified>
</cp:coreProperties>
</file>

<file path=docProps/custom.xml><?xml version="1.0" encoding="utf-8"?>
<Properties xmlns="http://schemas.openxmlformats.org/officeDocument/2006/custom-properties" xmlns:vt="http://schemas.openxmlformats.org/officeDocument/2006/docPropsVTypes"/>
</file>